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1DFB2CAC">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Pr>
          <w:rFonts w:hint="eastAsia" w:ascii="Arial" w:hAnsi="Arial" w:cs="Arial"/>
          <w:b/>
          <w:kern w:val="0"/>
          <w:sz w:val="28"/>
          <w:szCs w:val="32"/>
          <w:lang w:bidi="en-US"/>
        </w:rPr>
        <w:t>大学</w:t>
      </w:r>
    </w:p>
    <w:p w14:paraId="180E9075">
      <w:pPr>
        <w:spacing w:line="520" w:lineRule="exact"/>
        <w:jc w:val="center"/>
        <w:rPr>
          <w:rFonts w:ascii="Arial" w:hAnsi="Arial" w:cs="Arial"/>
          <w:b/>
          <w:sz w:val="28"/>
          <w:szCs w:val="32"/>
        </w:rPr>
      </w:pPr>
      <w:r>
        <w:rPr>
          <w:rFonts w:hint="eastAsia" w:ascii="Arial" w:hAnsi="Arial" w:cs="Arial"/>
          <w:b/>
          <w:sz w:val="28"/>
          <w:szCs w:val="32"/>
        </w:rPr>
        <w:t>荧光分光光度计采购项目</w:t>
      </w:r>
      <w:r>
        <w:rPr>
          <w:rFonts w:ascii="Arial" w:hAnsi="Arial" w:cs="Arial"/>
          <w:b/>
          <w:sz w:val="28"/>
          <w:szCs w:val="32"/>
        </w:rPr>
        <w:t>询价采购公告</w:t>
      </w:r>
    </w:p>
    <w:p w14:paraId="7794142A">
      <w:pPr>
        <w:widowControl/>
        <w:spacing w:after="200" w:line="276" w:lineRule="auto"/>
        <w:ind w:firstLine="1100" w:firstLineChars="5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w:t>
      </w:r>
      <w:r>
        <w:rPr>
          <w:rFonts w:hint="eastAsia" w:ascii="Arial" w:hAnsi="Arial" w:cs="Arial"/>
          <w:b/>
          <w:kern w:val="0"/>
          <w:sz w:val="22"/>
          <w:szCs w:val="24"/>
          <w:lang w:bidi="en-US"/>
        </w:rPr>
        <w:t>PU2026-</w:t>
      </w:r>
      <w:r>
        <w:rPr>
          <w:rFonts w:hint="eastAsia" w:ascii="Arial" w:hAnsi="Arial" w:cs="Arial"/>
          <w:b/>
          <w:kern w:val="0"/>
          <w:sz w:val="22"/>
          <w:szCs w:val="24"/>
          <w:lang w:val="en-US" w:eastAsia="zh-CN" w:bidi="en-US"/>
        </w:rPr>
        <w:t>14</w:t>
      </w:r>
      <w:r>
        <w:rPr>
          <w:rFonts w:ascii="Arial" w:hAnsi="Arial" w:cs="Arial"/>
          <w:kern w:val="0"/>
          <w:sz w:val="22"/>
          <w:szCs w:val="24"/>
          <w:lang w:bidi="en-US"/>
        </w:rPr>
        <w:t xml:space="preserve">                              发布日期：</w:t>
      </w:r>
      <w:r>
        <w:rPr>
          <w:rFonts w:hint="eastAsia" w:ascii="Arial" w:hAnsi="Arial" w:cs="Arial"/>
          <w:b/>
          <w:kern w:val="0"/>
          <w:sz w:val="22"/>
          <w:szCs w:val="24"/>
          <w:lang w:bidi="en-US"/>
        </w:rPr>
        <w:t>2026年</w:t>
      </w:r>
      <w:r>
        <w:rPr>
          <w:rFonts w:hint="eastAsia" w:ascii="Arial" w:hAnsi="Arial" w:cs="Arial"/>
          <w:b/>
          <w:kern w:val="0"/>
          <w:sz w:val="22"/>
          <w:szCs w:val="24"/>
          <w:lang w:val="en-US" w:eastAsia="zh-CN" w:bidi="en-US"/>
        </w:rPr>
        <w:t>5</w:t>
      </w:r>
      <w:r>
        <w:rPr>
          <w:rFonts w:hint="eastAsia" w:ascii="Arial" w:hAnsi="Arial" w:cs="Arial"/>
          <w:b/>
          <w:kern w:val="0"/>
          <w:sz w:val="22"/>
          <w:szCs w:val="24"/>
          <w:lang w:bidi="en-US"/>
        </w:rPr>
        <w:t>月</w:t>
      </w:r>
      <w:r>
        <w:rPr>
          <w:rFonts w:hint="eastAsia" w:ascii="Arial" w:hAnsi="Arial" w:cs="Arial"/>
          <w:b/>
          <w:kern w:val="0"/>
          <w:sz w:val="22"/>
          <w:szCs w:val="24"/>
          <w:lang w:val="en-US" w:eastAsia="zh-CN" w:bidi="en-US"/>
        </w:rPr>
        <w:t>25</w:t>
      </w:r>
      <w:r>
        <w:rPr>
          <w:rFonts w:hint="eastAsia" w:ascii="Arial" w:hAnsi="Arial" w:cs="Arial"/>
          <w:b/>
          <w:kern w:val="0"/>
          <w:sz w:val="22"/>
          <w:szCs w:val="24"/>
          <w:lang w:bidi="en-US"/>
        </w:rPr>
        <w:t>日</w:t>
      </w:r>
    </w:p>
    <w:p w14:paraId="295E3174">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Pr>
          <w:rFonts w:hint="eastAsia" w:ascii="Arial" w:hAnsi="Arial" w:cs="Arial"/>
          <w:bCs/>
          <w:kern w:val="0"/>
          <w:sz w:val="24"/>
          <w:szCs w:val="28"/>
          <w:lang w:bidi="en-US"/>
        </w:rPr>
        <w:t>荧光分光光度计采购</w:t>
      </w:r>
    </w:p>
    <w:p w14:paraId="70DCB1EE">
      <w:pPr>
        <w:numPr>
          <w:ilvl w:val="0"/>
          <w:numId w:val="1"/>
        </w:numPr>
        <w:spacing w:line="520" w:lineRule="exact"/>
        <w:rPr>
          <w:rFonts w:ascii="Arial" w:hAnsi="Arial" w:cs="Arial"/>
          <w:b w:val="0"/>
          <w:bCs w:val="0"/>
          <w:color w:val="auto"/>
          <w:kern w:val="0"/>
          <w:sz w:val="24"/>
          <w:szCs w:val="28"/>
          <w:lang w:bidi="en-US"/>
        </w:rPr>
      </w:pPr>
      <w:r>
        <w:rPr>
          <w:rFonts w:ascii="Arial" w:hAnsi="Arial" w:cs="Arial"/>
          <w:bCs/>
          <w:kern w:val="0"/>
          <w:sz w:val="24"/>
          <w:szCs w:val="28"/>
          <w:lang w:bidi="en-US"/>
        </w:rPr>
        <w:t>询价采购项目预算金额：（人民币大写）</w:t>
      </w:r>
      <w:r>
        <w:rPr>
          <w:rFonts w:hint="eastAsia" w:ascii="Arial" w:hAnsi="Arial" w:cs="Arial"/>
          <w:bCs/>
          <w:kern w:val="0"/>
          <w:sz w:val="24"/>
          <w:szCs w:val="28"/>
          <w:lang w:val="en-US" w:eastAsia="zh-CN" w:bidi="en-US"/>
        </w:rPr>
        <w:t>壹拾壹万陆仟伍</w:t>
      </w:r>
      <w:r>
        <w:rPr>
          <w:rFonts w:hint="eastAsia" w:ascii="Arial" w:hAnsi="Arial" w:cs="Arial"/>
          <w:bCs/>
          <w:color w:val="auto"/>
          <w:kern w:val="0"/>
          <w:sz w:val="24"/>
          <w:szCs w:val="28"/>
          <w:lang w:val="en-US" w:eastAsia="zh-CN" w:bidi="en-US"/>
        </w:rPr>
        <w:t>佰</w:t>
      </w:r>
      <w:r>
        <w:rPr>
          <w:rFonts w:ascii="Arial" w:hAnsi="Arial" w:cs="Arial"/>
          <w:b w:val="0"/>
          <w:bCs w:val="0"/>
          <w:color w:val="auto"/>
          <w:kern w:val="0"/>
          <w:sz w:val="24"/>
          <w:szCs w:val="28"/>
          <w:lang w:bidi="en-US"/>
        </w:rPr>
        <w:t>元整（¥</w:t>
      </w:r>
      <w:r>
        <w:rPr>
          <w:rFonts w:hint="eastAsia" w:ascii="Arial" w:hAnsi="Arial" w:cs="Arial"/>
          <w:b w:val="0"/>
          <w:bCs w:val="0"/>
          <w:color w:val="auto"/>
          <w:kern w:val="0"/>
          <w:sz w:val="24"/>
          <w:szCs w:val="28"/>
          <w:lang w:val="en-US" w:eastAsia="zh-CN" w:bidi="en-US"/>
        </w:rPr>
        <w:t>116500</w:t>
      </w:r>
      <w:r>
        <w:rPr>
          <w:rFonts w:hint="eastAsia" w:ascii="Arial" w:hAnsi="Arial" w:cs="Arial"/>
          <w:b w:val="0"/>
          <w:bCs w:val="0"/>
          <w:color w:val="auto"/>
          <w:kern w:val="0"/>
          <w:sz w:val="24"/>
          <w:szCs w:val="28"/>
          <w:lang w:bidi="en-US"/>
        </w:rPr>
        <w:t>.00</w:t>
      </w:r>
      <w:r>
        <w:rPr>
          <w:rFonts w:ascii="Arial" w:hAnsi="Arial" w:cs="Arial"/>
          <w:b w:val="0"/>
          <w:bCs w:val="0"/>
          <w:color w:val="auto"/>
          <w:kern w:val="0"/>
          <w:sz w:val="24"/>
          <w:szCs w:val="28"/>
          <w:lang w:bidi="en-US"/>
        </w:rPr>
        <w:t>）</w:t>
      </w:r>
    </w:p>
    <w:p w14:paraId="00384894">
      <w:pPr>
        <w:numPr>
          <w:ilvl w:val="0"/>
          <w:numId w:val="1"/>
        </w:numPr>
        <w:spacing w:line="520" w:lineRule="exact"/>
        <w:rPr>
          <w:rFonts w:ascii="Arial" w:hAnsi="Arial" w:cs="Arial"/>
          <w:bCs/>
          <w:color w:val="FF0000"/>
          <w:kern w:val="0"/>
          <w:sz w:val="24"/>
          <w:szCs w:val="28"/>
          <w:lang w:bidi="en-US"/>
        </w:rPr>
      </w:pPr>
      <w:r>
        <w:rPr>
          <w:rFonts w:hint="eastAsia" w:ascii="Arial" w:hAnsi="Arial" w:cs="Arial"/>
          <w:bCs/>
          <w:kern w:val="0"/>
          <w:sz w:val="24"/>
          <w:szCs w:val="28"/>
          <w:lang w:bidi="en-US"/>
        </w:rPr>
        <w:t>评标方法：最低评标价法</w:t>
      </w:r>
    </w:p>
    <w:p w14:paraId="06259E98">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hint="eastAsia" w:ascii="Arial" w:hAnsi="Arial" w:cs="Arial"/>
          <w:bCs/>
          <w:kern w:val="0"/>
          <w:sz w:val="24"/>
          <w:szCs w:val="28"/>
          <w:lang w:bidi="en-US"/>
        </w:rPr>
        <w:t>要</w:t>
      </w:r>
      <w:r>
        <w:rPr>
          <w:rFonts w:ascii="Arial" w:hAnsi="Arial" w:cs="Arial"/>
          <w:bCs/>
          <w:kern w:val="0"/>
          <w:sz w:val="24"/>
          <w:szCs w:val="28"/>
          <w:lang w:bidi="en-US"/>
        </w:rPr>
        <w:t>求</w:t>
      </w:r>
    </w:p>
    <w:p w14:paraId="26F8BEC0">
      <w:pPr>
        <w:pStyle w:val="7"/>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665"/>
        <w:gridCol w:w="7759"/>
        <w:gridCol w:w="375"/>
        <w:gridCol w:w="465"/>
      </w:tblGrid>
      <w:tr w14:paraId="389B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02" w:type="dxa"/>
            <w:vAlign w:val="center"/>
          </w:tcPr>
          <w:p w14:paraId="57163EE4">
            <w:pPr>
              <w:widowControl/>
              <w:jc w:val="center"/>
              <w:rPr>
                <w:rFonts w:ascii="Arial" w:hAnsi="Arial" w:cs="Arial"/>
                <w:color w:val="000000"/>
                <w:kern w:val="0"/>
                <w:szCs w:val="21"/>
              </w:rPr>
            </w:pPr>
            <w:r>
              <w:rPr>
                <w:rFonts w:ascii="Arial" w:hAnsi="Arial" w:cs="Arial"/>
                <w:color w:val="000000"/>
                <w:kern w:val="0"/>
                <w:szCs w:val="21"/>
              </w:rPr>
              <w:t>序号</w:t>
            </w:r>
          </w:p>
        </w:tc>
        <w:tc>
          <w:tcPr>
            <w:tcW w:w="665" w:type="dxa"/>
            <w:noWrap/>
            <w:vAlign w:val="center"/>
          </w:tcPr>
          <w:p w14:paraId="6AC9D901">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noWrap/>
            <w:vAlign w:val="center"/>
          </w:tcPr>
          <w:p w14:paraId="7D4F8037">
            <w:pPr>
              <w:widowControl/>
              <w:jc w:val="center"/>
              <w:rPr>
                <w:rFonts w:ascii="Arial" w:hAnsi="Arial" w:cs="Arial"/>
                <w:color w:val="000000"/>
                <w:kern w:val="0"/>
                <w:szCs w:val="21"/>
              </w:rPr>
            </w:pPr>
            <w:r>
              <w:rPr>
                <w:rFonts w:hint="eastAsia" w:ascii="Arial" w:hAnsi="Arial" w:cs="Arial"/>
                <w:kern w:val="0"/>
                <w:szCs w:val="21"/>
              </w:rPr>
              <w:t>参数</w:t>
            </w:r>
            <w:r>
              <w:rPr>
                <w:rFonts w:hint="eastAsia" w:ascii="Arial" w:hAnsi="Arial" w:cs="Arial"/>
                <w:color w:val="000000"/>
                <w:kern w:val="0"/>
                <w:szCs w:val="21"/>
              </w:rPr>
              <w:t>要求</w:t>
            </w:r>
          </w:p>
        </w:tc>
        <w:tc>
          <w:tcPr>
            <w:tcW w:w="375" w:type="dxa"/>
            <w:noWrap/>
            <w:vAlign w:val="center"/>
          </w:tcPr>
          <w:p w14:paraId="701323AA">
            <w:pPr>
              <w:widowControl/>
              <w:jc w:val="center"/>
              <w:rPr>
                <w:rFonts w:ascii="Arial" w:hAnsi="Arial" w:cs="Arial"/>
                <w:color w:val="000000"/>
                <w:kern w:val="0"/>
                <w:szCs w:val="21"/>
              </w:rPr>
            </w:pPr>
            <w:r>
              <w:rPr>
                <w:rFonts w:hint="eastAsia" w:ascii="Arial" w:hAnsi="Arial" w:cs="Arial"/>
                <w:color w:val="000000"/>
                <w:kern w:val="0"/>
                <w:szCs w:val="21"/>
              </w:rPr>
              <w:t>数量</w:t>
            </w:r>
          </w:p>
        </w:tc>
        <w:tc>
          <w:tcPr>
            <w:tcW w:w="465" w:type="dxa"/>
            <w:noWrap/>
            <w:vAlign w:val="center"/>
          </w:tcPr>
          <w:p w14:paraId="02431E57">
            <w:pPr>
              <w:widowControl/>
              <w:jc w:val="center"/>
              <w:rPr>
                <w:rFonts w:ascii="Arial" w:hAnsi="Arial" w:cs="Arial"/>
                <w:color w:val="000000"/>
                <w:kern w:val="0"/>
                <w:szCs w:val="21"/>
              </w:rPr>
            </w:pPr>
            <w:r>
              <w:rPr>
                <w:rFonts w:hint="eastAsia" w:ascii="Arial" w:hAnsi="Arial" w:cs="Arial"/>
                <w:color w:val="000000"/>
                <w:kern w:val="0"/>
                <w:szCs w:val="21"/>
              </w:rPr>
              <w:t>单位</w:t>
            </w:r>
          </w:p>
        </w:tc>
      </w:tr>
      <w:tr w14:paraId="4734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802" w:type="dxa"/>
          </w:tcPr>
          <w:p w14:paraId="07123255">
            <w:pPr>
              <w:pStyle w:val="42"/>
              <w:spacing w:before="62" w:line="241" w:lineRule="auto"/>
              <w:ind w:left="194"/>
              <w:rPr>
                <w:rFonts w:ascii="Arial" w:hAnsi="Arial" w:cs="Arial"/>
                <w:color w:val="000000"/>
                <w:kern w:val="0"/>
                <w:szCs w:val="21"/>
                <w:lang w:eastAsia="zh-CN"/>
              </w:rPr>
            </w:pPr>
            <w:r>
              <w:rPr>
                <w:rFonts w:hint="eastAsia" w:ascii="Arial" w:hAnsi="Arial" w:cs="Arial"/>
                <w:color w:val="000000"/>
                <w:kern w:val="0"/>
                <w:szCs w:val="21"/>
                <w:lang w:eastAsia="zh-CN"/>
              </w:rPr>
              <w:t>1</w:t>
            </w:r>
          </w:p>
        </w:tc>
        <w:tc>
          <w:tcPr>
            <w:tcW w:w="665" w:type="dxa"/>
            <w:noWrap/>
          </w:tcPr>
          <w:p w14:paraId="1017D528">
            <w:pPr>
              <w:pStyle w:val="42"/>
              <w:spacing w:before="65" w:line="221" w:lineRule="auto"/>
              <w:rPr>
                <w:rFonts w:ascii="Arial" w:hAnsi="Arial" w:cs="Arial"/>
                <w:color w:val="000000"/>
                <w:kern w:val="0"/>
                <w:szCs w:val="21"/>
              </w:rPr>
            </w:pPr>
            <w:r>
              <w:rPr>
                <w:rFonts w:hint="eastAsia" w:ascii="Arial" w:hAnsi="Arial" w:cs="Arial"/>
                <w:color w:val="000000"/>
                <w:kern w:val="0"/>
                <w:szCs w:val="21"/>
              </w:rPr>
              <w:t>荧光分光光度计</w:t>
            </w:r>
          </w:p>
        </w:tc>
        <w:tc>
          <w:tcPr>
            <w:tcW w:w="7759" w:type="dxa"/>
            <w:noWrap/>
          </w:tcPr>
          <w:p w14:paraId="529A6317">
            <w:pPr>
              <w:pStyle w:val="42"/>
              <w:spacing w:before="60" w:line="219" w:lineRule="auto"/>
              <w:ind w:left="61"/>
              <w:rPr>
                <w:highlight w:val="none"/>
                <w:lang w:eastAsia="zh-CN"/>
              </w:rPr>
            </w:pPr>
            <w:r>
              <w:rPr>
                <w:spacing w:val="-3"/>
                <w:lang w:eastAsia="zh-CN"/>
              </w:rPr>
              <w:t>一、主机</w:t>
            </w:r>
            <w:r>
              <w:rPr>
                <w:sz w:val="18"/>
                <w:szCs w:val="18"/>
                <w:lang w:eastAsia="zh-CN"/>
              </w:rPr>
              <w:t>(含电源线)</w:t>
            </w:r>
            <w:r>
              <w:rPr>
                <w:rFonts w:hint="eastAsia"/>
                <w:sz w:val="18"/>
                <w:szCs w:val="18"/>
                <w:lang w:eastAsia="zh-CN"/>
              </w:rPr>
              <w:t>，</w:t>
            </w:r>
            <w:r>
              <w:rPr>
                <w:rFonts w:hint="eastAsia"/>
                <w:sz w:val="18"/>
                <w:szCs w:val="18"/>
                <w:highlight w:val="none"/>
                <w:lang w:eastAsia="zh-CN"/>
              </w:rPr>
              <w:t xml:space="preserve"> 含软件。</w:t>
            </w:r>
          </w:p>
          <w:p w14:paraId="10A800DA">
            <w:pPr>
              <w:pStyle w:val="42"/>
              <w:spacing w:before="117" w:line="296" w:lineRule="auto"/>
              <w:ind w:left="11"/>
              <w:rPr>
                <w:b/>
                <w:bCs/>
                <w:strike/>
                <w:color w:val="EE0000"/>
                <w:highlight w:val="none"/>
                <w:lang w:eastAsia="zh-CN"/>
              </w:rPr>
            </w:pPr>
            <w:r>
              <w:rPr>
                <w:spacing w:val="-1"/>
                <w:highlight w:val="none"/>
                <w:lang w:eastAsia="zh-CN"/>
              </w:rPr>
              <w:t>1</w:t>
            </w:r>
            <w:r>
              <w:rPr>
                <w:rFonts w:hint="eastAsia"/>
                <w:spacing w:val="-1"/>
                <w:highlight w:val="none"/>
                <w:lang w:eastAsia="zh-CN"/>
              </w:rPr>
              <w:t>.</w:t>
            </w:r>
            <w:r>
              <w:rPr>
                <w:spacing w:val="-1"/>
                <w:highlight w:val="none"/>
                <w:lang w:eastAsia="zh-CN"/>
              </w:rPr>
              <w:t>进行荧光、生物发光、化学发光等的</w:t>
            </w:r>
            <w:r>
              <w:rPr>
                <w:spacing w:val="3"/>
                <w:highlight w:val="none"/>
                <w:lang w:eastAsia="zh-CN"/>
              </w:rPr>
              <w:t>波长扫描(激发扫描和发射扫描)、激发-发射全图</w:t>
            </w:r>
            <w:r>
              <w:rPr>
                <w:spacing w:val="-4"/>
                <w:highlight w:val="none"/>
                <w:lang w:eastAsia="zh-CN"/>
              </w:rPr>
              <w:t>谱扫描、动力学扫描、同步扫描、定量测量等，可自</w:t>
            </w:r>
            <w:r>
              <w:rPr>
                <w:spacing w:val="-2"/>
                <w:highlight w:val="none"/>
                <w:lang w:eastAsia="zh-CN"/>
              </w:rPr>
              <w:t>动升级各向异性测量。</w:t>
            </w:r>
          </w:p>
          <w:p w14:paraId="6D8A7DFA">
            <w:pPr>
              <w:pStyle w:val="42"/>
              <w:spacing w:before="94" w:line="265" w:lineRule="auto"/>
              <w:ind w:right="107"/>
              <w:rPr>
                <w:highlight w:val="none"/>
                <w:lang w:eastAsia="zh-CN"/>
              </w:rPr>
            </w:pPr>
            <w:r>
              <w:rPr>
                <w:highlight w:val="none"/>
                <w:lang w:eastAsia="zh-CN"/>
              </w:rPr>
              <w:t>2</w:t>
            </w:r>
            <w:r>
              <w:rPr>
                <w:rFonts w:hint="eastAsia"/>
                <w:highlight w:val="none"/>
                <w:lang w:eastAsia="zh-CN"/>
              </w:rPr>
              <w:t>.</w:t>
            </w:r>
            <w:r>
              <w:rPr>
                <w:highlight w:val="none"/>
                <w:lang w:eastAsia="zh-CN"/>
              </w:rPr>
              <w:t>光源：150W稳态连续氙灯</w:t>
            </w:r>
            <w:r>
              <w:rPr>
                <w:rFonts w:hint="eastAsia"/>
                <w:highlight w:val="none"/>
                <w:lang w:eastAsia="zh-CN"/>
              </w:rPr>
              <w:t>，</w:t>
            </w:r>
            <w:r>
              <w:rPr>
                <w:highlight w:val="none"/>
                <w:lang w:eastAsia="zh-CN"/>
              </w:rPr>
              <w:t>快速</w:t>
            </w:r>
            <w:r>
              <w:rPr>
                <w:spacing w:val="-1"/>
                <w:highlight w:val="none"/>
                <w:lang w:eastAsia="zh-CN"/>
              </w:rPr>
              <w:t>精细的扫描，保证光谱信息的全面性和真实性。</w:t>
            </w:r>
          </w:p>
          <w:p w14:paraId="73D6B1E2">
            <w:pPr>
              <w:pStyle w:val="42"/>
              <w:spacing w:before="75" w:line="267" w:lineRule="auto"/>
              <w:ind w:left="151" w:right="34" w:hanging="140"/>
              <w:rPr>
                <w:spacing w:val="-1"/>
                <w:highlight w:val="none"/>
                <w:lang w:eastAsia="zh-CN"/>
              </w:rPr>
            </w:pPr>
            <w:r>
              <w:rPr>
                <w:spacing w:val="-1"/>
                <w:highlight w:val="none"/>
                <w:lang w:eastAsia="zh-CN"/>
              </w:rPr>
              <w:t>3</w:t>
            </w:r>
            <w:r>
              <w:rPr>
                <w:rFonts w:hint="eastAsia"/>
                <w:spacing w:val="-1"/>
                <w:highlight w:val="none"/>
                <w:lang w:eastAsia="zh-CN"/>
              </w:rPr>
              <w:t>.</w:t>
            </w:r>
            <w:r>
              <w:rPr>
                <w:spacing w:val="-1"/>
                <w:highlight w:val="none"/>
                <w:lang w:eastAsia="zh-CN"/>
              </w:rPr>
              <w:t>单色器：高性能激发和发射单色器，凹面光栅，闪耀波长在可见光区</w:t>
            </w:r>
            <w:r>
              <w:rPr>
                <w:rFonts w:hint="eastAsia"/>
                <w:spacing w:val="-1"/>
                <w:highlight w:val="none"/>
                <w:lang w:eastAsia="zh-CN"/>
              </w:rPr>
              <w:t>(380-750nm)，提高可见光区</w:t>
            </w:r>
            <w:r>
              <w:rPr>
                <w:spacing w:val="-1"/>
                <w:highlight w:val="none"/>
                <w:lang w:eastAsia="zh-CN"/>
              </w:rPr>
              <w:t>光</w:t>
            </w:r>
            <w:r>
              <w:rPr>
                <w:spacing w:val="-7"/>
                <w:highlight w:val="none"/>
                <w:lang w:eastAsia="zh-CN"/>
              </w:rPr>
              <w:t>通量。全息凹面光栅同时具有分光和聚焦的功能</w:t>
            </w:r>
            <w:r>
              <w:rPr>
                <w:spacing w:val="-1"/>
                <w:highlight w:val="none"/>
                <w:lang w:eastAsia="zh-CN"/>
              </w:rPr>
              <w:t>。</w:t>
            </w:r>
          </w:p>
          <w:p w14:paraId="6067A1E5">
            <w:pPr>
              <w:pStyle w:val="42"/>
              <w:spacing w:before="95" w:line="219" w:lineRule="auto"/>
              <w:ind w:left="81"/>
              <w:rPr>
                <w:b/>
                <w:bCs/>
                <w:strike/>
                <w:spacing w:val="3"/>
                <w:highlight w:val="none"/>
                <w:lang w:eastAsia="zh-CN"/>
              </w:rPr>
            </w:pPr>
            <w:r>
              <w:rPr>
                <w:highlight w:val="none"/>
                <w:lang w:eastAsia="zh-CN"/>
              </w:rPr>
              <w:t>4</w:t>
            </w:r>
            <w:r>
              <w:rPr>
                <w:rFonts w:hint="eastAsia"/>
                <w:highlight w:val="none"/>
                <w:lang w:eastAsia="zh-CN"/>
              </w:rPr>
              <w:t>.</w:t>
            </w:r>
            <w:r>
              <w:rPr>
                <w:highlight w:val="none"/>
                <w:lang w:eastAsia="zh-CN"/>
              </w:rPr>
              <w:t>检测器：光电倍增管，具有自增益功</w:t>
            </w:r>
            <w:r>
              <w:rPr>
                <w:spacing w:val="-1"/>
                <w:highlight w:val="none"/>
                <w:lang w:eastAsia="zh-CN"/>
              </w:rPr>
              <w:t>能，0~</w:t>
            </w:r>
            <w:r>
              <w:rPr>
                <w:rFonts w:hint="eastAsia"/>
                <w:spacing w:val="-1"/>
                <w:highlight w:val="none"/>
                <w:lang w:eastAsia="zh-CN"/>
              </w:rPr>
              <w:t>9</w:t>
            </w:r>
            <w:r>
              <w:rPr>
                <w:spacing w:val="-1"/>
                <w:highlight w:val="none"/>
                <w:lang w:eastAsia="zh-CN"/>
              </w:rPr>
              <w:t>00V</w:t>
            </w:r>
            <w:r>
              <w:rPr>
                <w:rFonts w:hint="eastAsia"/>
                <w:spacing w:val="-1"/>
                <w:highlight w:val="none"/>
                <w:lang w:eastAsia="zh-CN"/>
              </w:rPr>
              <w:t>或更宽范围</w:t>
            </w:r>
            <w:r>
              <w:rPr>
                <w:spacing w:val="-1"/>
                <w:highlight w:val="none"/>
                <w:lang w:eastAsia="zh-CN"/>
              </w:rPr>
              <w:t>连续可调。</w:t>
            </w:r>
          </w:p>
          <w:p w14:paraId="72A86D63">
            <w:pPr>
              <w:pStyle w:val="42"/>
              <w:spacing w:before="83" w:line="216" w:lineRule="auto"/>
              <w:rPr>
                <w:spacing w:val="-1"/>
                <w:lang w:eastAsia="zh-CN"/>
              </w:rPr>
            </w:pPr>
            <w:r>
              <w:rPr>
                <w:spacing w:val="-1"/>
                <w:highlight w:val="none"/>
                <w:lang w:eastAsia="zh-CN"/>
              </w:rPr>
              <w:t>5</w:t>
            </w:r>
            <w:r>
              <w:rPr>
                <w:rFonts w:hint="eastAsia"/>
                <w:spacing w:val="-1"/>
                <w:highlight w:val="none"/>
                <w:lang w:eastAsia="zh-CN"/>
              </w:rPr>
              <w:t>.</w:t>
            </w:r>
            <w:r>
              <w:rPr>
                <w:spacing w:val="-1"/>
                <w:highlight w:val="none"/>
                <w:lang w:eastAsia="zh-CN"/>
              </w:rPr>
              <w:t>灵敏度：背景噪声SN</w:t>
            </w:r>
            <w:r>
              <w:rPr>
                <w:rFonts w:hint="eastAsia"/>
                <w:spacing w:val="-1"/>
                <w:highlight w:val="none"/>
                <w:lang w:eastAsia="zh-CN"/>
              </w:rPr>
              <w:t>≥</w:t>
            </w:r>
            <w:r>
              <w:rPr>
                <w:spacing w:val="-1"/>
                <w:highlight w:val="none"/>
                <w:lang w:eastAsia="zh-CN"/>
              </w:rPr>
              <w:t>20000:1(RMS),使用</w:t>
            </w:r>
            <w:r>
              <w:rPr>
                <w:spacing w:val="-1"/>
                <w:lang w:eastAsia="zh-CN"/>
              </w:rPr>
              <w:t>水的拉曼峰进行测试。</w:t>
            </w:r>
          </w:p>
          <w:p w14:paraId="7FFCAAF2">
            <w:pPr>
              <w:pStyle w:val="42"/>
              <w:spacing w:before="82" w:line="307" w:lineRule="auto"/>
              <w:ind w:right="80"/>
              <w:rPr>
                <w:lang w:eastAsia="zh-CN"/>
              </w:rPr>
            </w:pPr>
            <w:r>
              <w:rPr>
                <w:spacing w:val="-1"/>
                <w:lang w:eastAsia="zh-CN"/>
              </w:rPr>
              <w:t>6</w:t>
            </w:r>
            <w:r>
              <w:rPr>
                <w:rFonts w:hint="eastAsia"/>
                <w:spacing w:val="-1"/>
                <w:lang w:eastAsia="zh-CN"/>
              </w:rPr>
              <w:t>.</w:t>
            </w:r>
            <w:r>
              <w:rPr>
                <w:spacing w:val="-1"/>
                <w:lang w:eastAsia="zh-CN"/>
              </w:rPr>
              <w:t>测量波长范围：激发(EX)200nm~900nm,包</w:t>
            </w:r>
            <w:r>
              <w:rPr>
                <w:lang w:eastAsia="zh-CN"/>
              </w:rPr>
              <w:t>含零极光；发射(EM)200nm~900 nm,包含零极</w:t>
            </w:r>
            <w:r>
              <w:rPr>
                <w:spacing w:val="-1"/>
                <w:lang w:eastAsia="zh-CN"/>
              </w:rPr>
              <w:t>光。</w:t>
            </w:r>
          </w:p>
          <w:p w14:paraId="37720270">
            <w:pPr>
              <w:pStyle w:val="42"/>
              <w:spacing w:before="1" w:line="307" w:lineRule="auto"/>
              <w:rPr>
                <w:lang w:eastAsia="zh-CN"/>
              </w:rPr>
            </w:pPr>
            <w:r>
              <w:rPr>
                <w:lang w:eastAsia="zh-CN"/>
              </w:rPr>
              <w:t>7</w:t>
            </w:r>
            <w:r>
              <w:rPr>
                <w:rFonts w:hint="eastAsia"/>
                <w:lang w:eastAsia="zh-CN"/>
              </w:rPr>
              <w:t>.</w:t>
            </w:r>
            <w:r>
              <w:rPr>
                <w:lang w:eastAsia="zh-CN"/>
              </w:rPr>
              <w:t>光谱带宽：激发1nm</w:t>
            </w:r>
            <w:r>
              <w:rPr>
                <w:rFonts w:hint="eastAsia"/>
                <w:lang w:eastAsia="zh-CN"/>
              </w:rPr>
              <w:t>至</w:t>
            </w:r>
            <w:r>
              <w:rPr>
                <w:lang w:eastAsia="zh-CN"/>
              </w:rPr>
              <w:t>20nm</w:t>
            </w:r>
            <w:r>
              <w:rPr>
                <w:rFonts w:hint="eastAsia"/>
                <w:lang w:eastAsia="zh-CN"/>
              </w:rPr>
              <w:t>五</w:t>
            </w:r>
            <w:r>
              <w:rPr>
                <w:lang w:eastAsia="zh-CN"/>
              </w:rPr>
              <w:t>档</w:t>
            </w:r>
            <w:r>
              <w:rPr>
                <w:rFonts w:hint="eastAsia"/>
                <w:lang w:eastAsia="zh-CN"/>
              </w:rPr>
              <w:t>以上</w:t>
            </w:r>
            <w:r>
              <w:rPr>
                <w:lang w:eastAsia="zh-CN"/>
              </w:rPr>
              <w:t>可选；发射1nm</w:t>
            </w:r>
            <w:r>
              <w:rPr>
                <w:rFonts w:hint="eastAsia"/>
                <w:lang w:eastAsia="zh-CN"/>
              </w:rPr>
              <w:t>至</w:t>
            </w:r>
            <w:r>
              <w:rPr>
                <w:lang w:eastAsia="zh-CN"/>
              </w:rPr>
              <w:t>20nm</w:t>
            </w:r>
            <w:r>
              <w:rPr>
                <w:rFonts w:hint="eastAsia"/>
                <w:lang w:eastAsia="zh-CN"/>
              </w:rPr>
              <w:t>五</w:t>
            </w:r>
            <w:r>
              <w:rPr>
                <w:lang w:eastAsia="zh-CN"/>
              </w:rPr>
              <w:t>档</w:t>
            </w:r>
            <w:r>
              <w:rPr>
                <w:rFonts w:hint="eastAsia"/>
                <w:lang w:eastAsia="zh-CN"/>
              </w:rPr>
              <w:t>以上</w:t>
            </w:r>
            <w:r>
              <w:rPr>
                <w:lang w:eastAsia="zh-CN"/>
              </w:rPr>
              <w:t>可选</w:t>
            </w:r>
            <w:r>
              <w:rPr>
                <w:spacing w:val="-2"/>
                <w:lang w:eastAsia="zh-CN"/>
              </w:rPr>
              <w:t>。</w:t>
            </w:r>
          </w:p>
          <w:p w14:paraId="27B97989">
            <w:pPr>
              <w:pStyle w:val="42"/>
              <w:spacing w:before="1" w:line="306" w:lineRule="auto"/>
              <w:rPr>
                <w:highlight w:val="none"/>
                <w:lang w:eastAsia="zh-CN"/>
              </w:rPr>
            </w:pPr>
            <w:r>
              <w:rPr>
                <w:spacing w:val="-4"/>
                <w:lang w:eastAsia="zh-CN"/>
              </w:rPr>
              <w:t>8</w:t>
            </w:r>
            <w:r>
              <w:rPr>
                <w:rFonts w:hint="eastAsia"/>
                <w:spacing w:val="-4"/>
                <w:lang w:eastAsia="zh-CN"/>
              </w:rPr>
              <w:t>.</w:t>
            </w:r>
            <w:r>
              <w:rPr>
                <w:spacing w:val="-4"/>
                <w:lang w:eastAsia="zh-CN"/>
              </w:rPr>
              <w:t>波长准</w:t>
            </w:r>
            <w:r>
              <w:rPr>
                <w:spacing w:val="-4"/>
                <w:highlight w:val="none"/>
                <w:lang w:eastAsia="zh-CN"/>
              </w:rPr>
              <w:t>确度：激发波长≤±1.5nm;发射波长≤±</w:t>
            </w:r>
            <w:r>
              <w:rPr>
                <w:spacing w:val="-6"/>
                <w:highlight w:val="none"/>
                <w:lang w:eastAsia="zh-CN"/>
              </w:rPr>
              <w:t>1.5nm。</w:t>
            </w:r>
          </w:p>
          <w:p w14:paraId="094BC300">
            <w:pPr>
              <w:pStyle w:val="42"/>
              <w:spacing w:before="2" w:line="269" w:lineRule="auto"/>
              <w:ind w:right="20"/>
              <w:rPr>
                <w:lang w:eastAsia="zh-CN"/>
              </w:rPr>
            </w:pPr>
            <w:r>
              <w:rPr>
                <w:lang w:eastAsia="zh-CN"/>
              </w:rPr>
              <w:t>9</w:t>
            </w:r>
            <w:r>
              <w:rPr>
                <w:rFonts w:hint="eastAsia"/>
                <w:lang w:eastAsia="zh-CN"/>
              </w:rPr>
              <w:t>.</w:t>
            </w:r>
            <w:r>
              <w:rPr>
                <w:lang w:eastAsia="zh-CN"/>
              </w:rPr>
              <w:t>波长重复性：激发波长≤1nm;发射</w:t>
            </w:r>
            <w:r>
              <w:rPr>
                <w:spacing w:val="-1"/>
                <w:lang w:eastAsia="zh-CN"/>
              </w:rPr>
              <w:t>波长≤1nm。</w:t>
            </w:r>
            <w:r>
              <w:rPr>
                <w:lang w:eastAsia="zh-CN"/>
              </w:rPr>
              <w:t xml:space="preserve"> </w:t>
            </w:r>
          </w:p>
          <w:p w14:paraId="7A424990">
            <w:pPr>
              <w:pStyle w:val="42"/>
              <w:spacing w:before="2" w:line="269" w:lineRule="auto"/>
              <w:ind w:right="20"/>
              <w:rPr>
                <w:spacing w:val="1"/>
                <w:lang w:eastAsia="zh-CN"/>
              </w:rPr>
            </w:pPr>
            <w:r>
              <w:rPr>
                <w:spacing w:val="1"/>
                <w:lang w:eastAsia="zh-CN"/>
              </w:rPr>
              <w:t>10</w:t>
            </w:r>
            <w:r>
              <w:rPr>
                <w:rFonts w:hint="eastAsia"/>
                <w:spacing w:val="1"/>
                <w:lang w:eastAsia="zh-CN"/>
              </w:rPr>
              <w:t>.</w:t>
            </w:r>
            <w:r>
              <w:rPr>
                <w:spacing w:val="1"/>
                <w:lang w:eastAsia="zh-CN"/>
              </w:rPr>
              <w:t>光谱分辨率：≤1</w:t>
            </w:r>
            <w:r>
              <w:rPr>
                <w:lang w:eastAsia="zh-CN"/>
              </w:rPr>
              <w:t>nm</w:t>
            </w:r>
            <w:r>
              <w:rPr>
                <w:spacing w:val="1"/>
                <w:lang w:eastAsia="zh-CN"/>
              </w:rPr>
              <w:t>。</w:t>
            </w:r>
          </w:p>
          <w:p w14:paraId="6AD0A5A6">
            <w:pPr>
              <w:pStyle w:val="42"/>
              <w:spacing w:before="85" w:line="220" w:lineRule="auto"/>
              <w:rPr>
                <w:lang w:eastAsia="zh-CN"/>
              </w:rPr>
            </w:pPr>
            <w:r>
              <w:rPr>
                <w:lang w:eastAsia="zh-CN"/>
              </w:rPr>
              <w:t>11</w:t>
            </w:r>
            <w:r>
              <w:rPr>
                <w:rFonts w:hint="eastAsia"/>
                <w:lang w:eastAsia="zh-CN"/>
              </w:rPr>
              <w:t>.</w:t>
            </w:r>
            <w:r>
              <w:rPr>
                <w:lang w:eastAsia="zh-CN"/>
              </w:rPr>
              <w:t>扫描间隔：0.1~10.0nm和自</w:t>
            </w:r>
            <w:r>
              <w:rPr>
                <w:spacing w:val="-1"/>
                <w:lang w:eastAsia="zh-CN"/>
              </w:rPr>
              <w:t>动。</w:t>
            </w:r>
          </w:p>
          <w:p w14:paraId="3091EB17">
            <w:pPr>
              <w:pStyle w:val="42"/>
              <w:spacing w:before="78" w:line="267" w:lineRule="auto"/>
              <w:rPr>
                <w:lang w:eastAsia="zh-CN"/>
              </w:rPr>
            </w:pPr>
            <w:r>
              <w:rPr>
                <w:spacing w:val="-4"/>
                <w:lang w:eastAsia="zh-CN"/>
              </w:rPr>
              <w:t>12</w:t>
            </w:r>
            <w:r>
              <w:rPr>
                <w:rFonts w:hint="eastAsia"/>
                <w:spacing w:val="-4"/>
                <w:lang w:eastAsia="zh-CN"/>
              </w:rPr>
              <w:t>.</w:t>
            </w:r>
            <w:r>
              <w:rPr>
                <w:spacing w:val="-4"/>
                <w:lang w:eastAsia="zh-CN"/>
              </w:rPr>
              <w:t>荧光信号范围同等或优于：-10000~50000,分</w:t>
            </w:r>
            <w:r>
              <w:rPr>
                <w:lang w:eastAsia="zh-CN"/>
              </w:rPr>
              <w:t>辨率</w:t>
            </w:r>
            <w:r>
              <w:rPr>
                <w:rFonts w:hint="eastAsia"/>
                <w:lang w:eastAsia="zh-CN"/>
              </w:rPr>
              <w:t>≤</w:t>
            </w:r>
            <w:r>
              <w:rPr>
                <w:lang w:eastAsia="zh-CN"/>
              </w:rPr>
              <w:t>0.001。</w:t>
            </w:r>
          </w:p>
          <w:p w14:paraId="4AC71174">
            <w:pPr>
              <w:pStyle w:val="42"/>
              <w:spacing w:before="92" w:line="302" w:lineRule="auto"/>
              <w:rPr>
                <w:spacing w:val="-1"/>
                <w:lang w:eastAsia="zh-CN"/>
              </w:rPr>
            </w:pPr>
            <w:r>
              <w:rPr>
                <w:spacing w:val="-4"/>
                <w:lang w:eastAsia="zh-CN"/>
              </w:rPr>
              <w:t>13</w:t>
            </w:r>
            <w:r>
              <w:rPr>
                <w:rFonts w:hint="eastAsia"/>
                <w:spacing w:val="-4"/>
                <w:lang w:eastAsia="zh-CN"/>
              </w:rPr>
              <w:t>.</w:t>
            </w:r>
            <w:r>
              <w:rPr>
                <w:spacing w:val="-4"/>
                <w:lang w:eastAsia="zh-CN"/>
              </w:rPr>
              <w:t>最大波长扫描速度≥60,000nm/min;波长驱动</w:t>
            </w:r>
            <w:r>
              <w:rPr>
                <w:spacing w:val="18"/>
                <w:lang w:eastAsia="zh-CN"/>
              </w:rPr>
              <w:t xml:space="preserve"> </w:t>
            </w:r>
            <w:r>
              <w:rPr>
                <w:spacing w:val="-1"/>
                <w:lang w:eastAsia="zh-CN"/>
              </w:rPr>
              <w:t>速度≥60,000nm/min。</w:t>
            </w:r>
          </w:p>
          <w:p w14:paraId="6DB4EC53">
            <w:pPr>
              <w:pStyle w:val="42"/>
              <w:spacing w:before="9" w:line="305" w:lineRule="auto"/>
              <w:rPr>
                <w:lang w:eastAsia="zh-CN"/>
              </w:rPr>
            </w:pPr>
            <w:r>
              <w:rPr>
                <w:spacing w:val="-8"/>
                <w:lang w:eastAsia="zh-CN"/>
              </w:rPr>
              <w:t>14</w:t>
            </w:r>
            <w:r>
              <w:rPr>
                <w:rFonts w:hint="eastAsia"/>
                <w:spacing w:val="-8"/>
                <w:lang w:eastAsia="zh-CN"/>
              </w:rPr>
              <w:t>.</w:t>
            </w:r>
            <w:r>
              <w:rPr>
                <w:spacing w:val="-8"/>
                <w:lang w:eastAsia="zh-CN"/>
              </w:rPr>
              <w:t>响应时间：所有光谱的采集信号根</w:t>
            </w:r>
            <w:r>
              <w:rPr>
                <w:spacing w:val="-9"/>
                <w:lang w:eastAsia="zh-CN"/>
              </w:rPr>
              <w:t>据测试参数</w:t>
            </w:r>
            <w:r>
              <w:rPr>
                <w:lang w:eastAsia="zh-CN"/>
              </w:rPr>
              <w:t>的设置均为软件自动响应(自动调整至最佳信号响</w:t>
            </w:r>
            <w:r>
              <w:rPr>
                <w:spacing w:val="-1"/>
                <w:lang w:eastAsia="zh-CN"/>
              </w:rPr>
              <w:t>应),无需手动设置。</w:t>
            </w:r>
          </w:p>
          <w:p w14:paraId="622A9123">
            <w:pPr>
              <w:pStyle w:val="42"/>
              <w:spacing w:before="7" w:line="305" w:lineRule="auto"/>
              <w:rPr>
                <w:lang w:eastAsia="zh-CN"/>
              </w:rPr>
            </w:pPr>
            <w:r>
              <w:rPr>
                <w:spacing w:val="-8"/>
                <w:lang w:eastAsia="zh-CN"/>
              </w:rPr>
              <w:t>15</w:t>
            </w:r>
            <w:r>
              <w:rPr>
                <w:rFonts w:hint="eastAsia"/>
                <w:spacing w:val="-8"/>
                <w:lang w:eastAsia="zh-CN"/>
              </w:rPr>
              <w:t>.</w:t>
            </w:r>
            <w:r>
              <w:rPr>
                <w:spacing w:val="-8"/>
                <w:lang w:eastAsia="zh-CN"/>
              </w:rPr>
              <w:t>各模式测试时标配荧光信号检测功</w:t>
            </w:r>
            <w:r>
              <w:rPr>
                <w:spacing w:val="-9"/>
                <w:lang w:eastAsia="zh-CN"/>
              </w:rPr>
              <w:t>能，有效判断荧光信号的强度，优化荧光信号输出，确保为</w:t>
            </w:r>
            <w:r>
              <w:rPr>
                <w:spacing w:val="-1"/>
                <w:lang w:eastAsia="zh-CN"/>
              </w:rPr>
              <w:t>样品自动而快速地选择最佳激发和发射波长；自动</w:t>
            </w:r>
            <w:r>
              <w:rPr>
                <w:spacing w:val="-9"/>
                <w:lang w:eastAsia="zh-CN"/>
              </w:rPr>
              <w:t>调零功能，进行系统暗电流噪声的校正，提高仪器的灵敏度；自动化控制光源的开启，拥有光源自动</w:t>
            </w:r>
            <w:r>
              <w:rPr>
                <w:spacing w:val="-1"/>
                <w:lang w:eastAsia="zh-CN"/>
              </w:rPr>
              <w:t>休眠模式，兼顾测试使用和光源寿命。</w:t>
            </w:r>
          </w:p>
          <w:p w14:paraId="0A7EACCF">
            <w:pPr>
              <w:pStyle w:val="42"/>
              <w:spacing w:before="7" w:line="305" w:lineRule="auto"/>
              <w:rPr>
                <w:spacing w:val="-1"/>
                <w:lang w:eastAsia="zh-CN"/>
              </w:rPr>
            </w:pPr>
            <w:r>
              <w:rPr>
                <w:spacing w:val="-1"/>
                <w:lang w:eastAsia="zh-CN"/>
              </w:rPr>
              <w:t>16</w:t>
            </w:r>
            <w:r>
              <w:rPr>
                <w:rFonts w:hint="eastAsia"/>
                <w:spacing w:val="-1"/>
                <w:lang w:eastAsia="zh-CN"/>
              </w:rPr>
              <w:t>.</w:t>
            </w:r>
            <w:r>
              <w:rPr>
                <w:spacing w:val="-1"/>
                <w:lang w:eastAsia="zh-CN"/>
              </w:rPr>
              <w:t>光谱校正功能：激发侧全波段采用实时动态扣除光源背景的信号。</w:t>
            </w:r>
          </w:p>
          <w:p w14:paraId="01497FFB">
            <w:pPr>
              <w:pStyle w:val="42"/>
              <w:spacing w:before="7" w:line="305" w:lineRule="auto"/>
              <w:rPr>
                <w:spacing w:val="-1"/>
                <w:lang w:eastAsia="zh-CN"/>
              </w:rPr>
            </w:pPr>
            <w:r>
              <w:rPr>
                <w:spacing w:val="-1"/>
                <w:lang w:eastAsia="zh-CN"/>
              </w:rPr>
              <w:t>17</w:t>
            </w:r>
            <w:r>
              <w:rPr>
                <w:rFonts w:hint="eastAsia"/>
                <w:spacing w:val="-1"/>
                <w:lang w:eastAsia="zh-CN"/>
              </w:rPr>
              <w:t>.</w:t>
            </w:r>
            <w:r>
              <w:rPr>
                <w:spacing w:val="-1"/>
                <w:lang w:eastAsia="zh-CN"/>
              </w:rPr>
              <w:t>样品仓外侧预留开孔，方便进行高功率光源耦合。</w:t>
            </w:r>
          </w:p>
          <w:p w14:paraId="451C79E4">
            <w:pPr>
              <w:pStyle w:val="42"/>
              <w:spacing w:before="7" w:line="305" w:lineRule="auto"/>
              <w:rPr>
                <w:spacing w:val="-1"/>
                <w:lang w:eastAsia="zh-CN"/>
              </w:rPr>
            </w:pPr>
            <w:r>
              <w:rPr>
                <w:spacing w:val="-1"/>
                <w:lang w:eastAsia="zh-CN"/>
              </w:rPr>
              <w:t>二、软件</w:t>
            </w:r>
            <w:r>
              <w:rPr>
                <w:rFonts w:hint="eastAsia"/>
                <w:spacing w:val="-1"/>
                <w:lang w:eastAsia="zh-CN"/>
              </w:rPr>
              <w:t>模块</w:t>
            </w:r>
          </w:p>
          <w:p w14:paraId="14C2C00B">
            <w:pPr>
              <w:pStyle w:val="42"/>
              <w:spacing w:before="7" w:line="305" w:lineRule="auto"/>
              <w:rPr>
                <w:spacing w:val="-1"/>
                <w:lang w:eastAsia="zh-CN"/>
              </w:rPr>
            </w:pPr>
            <w:r>
              <w:rPr>
                <w:spacing w:val="-1"/>
                <w:lang w:eastAsia="zh-CN"/>
              </w:rPr>
              <w:t>1</w:t>
            </w:r>
            <w:r>
              <w:rPr>
                <w:rFonts w:hint="eastAsia"/>
                <w:spacing w:val="-1"/>
                <w:lang w:eastAsia="zh-CN"/>
              </w:rPr>
              <w:t>.</w:t>
            </w:r>
            <w:r>
              <w:rPr>
                <w:spacing w:val="-1"/>
                <w:lang w:eastAsia="zh-CN"/>
              </w:rPr>
              <w:t>主机由软件</w:t>
            </w:r>
            <w:r>
              <w:rPr>
                <w:rFonts w:hint="eastAsia"/>
                <w:spacing w:val="-1"/>
                <w:lang w:eastAsia="zh-CN"/>
              </w:rPr>
              <w:t>模块</w:t>
            </w:r>
            <w:r>
              <w:rPr>
                <w:spacing w:val="-1"/>
                <w:lang w:eastAsia="zh-CN"/>
              </w:rPr>
              <w:t>控制，中、英文操作界面可选(软件一键切换),Windows环境下工作。仪器状态、荧光强度、激发和发射波长、光谱带宽等测试信息可实时显示。</w:t>
            </w:r>
          </w:p>
          <w:p w14:paraId="2E01134D">
            <w:pPr>
              <w:pStyle w:val="42"/>
              <w:spacing w:before="7" w:line="305" w:lineRule="auto"/>
              <w:rPr>
                <w:spacing w:val="-1"/>
                <w:lang w:eastAsia="zh-CN"/>
              </w:rPr>
            </w:pPr>
            <w:r>
              <w:rPr>
                <w:spacing w:val="-1"/>
                <w:lang w:eastAsia="zh-CN"/>
              </w:rPr>
              <w:t>2</w:t>
            </w:r>
            <w:r>
              <w:rPr>
                <w:rFonts w:hint="eastAsia"/>
                <w:spacing w:val="-1"/>
                <w:lang w:eastAsia="zh-CN"/>
              </w:rPr>
              <w:t>.</w:t>
            </w:r>
            <w:r>
              <w:rPr>
                <w:spacing w:val="-1"/>
                <w:lang w:eastAsia="zh-CN"/>
              </w:rPr>
              <w:t>软件具有以下图谱处理功能：归一化、平滑、微分、积分、四则运算、峰谷示值、归一化(至1)等。</w:t>
            </w:r>
          </w:p>
          <w:p w14:paraId="5D221018">
            <w:pPr>
              <w:pStyle w:val="42"/>
              <w:spacing w:before="7" w:line="305" w:lineRule="auto"/>
              <w:rPr>
                <w:spacing w:val="-1"/>
                <w:lang w:eastAsia="zh-CN"/>
              </w:rPr>
            </w:pPr>
            <w:r>
              <w:rPr>
                <w:spacing w:val="-1"/>
                <w:lang w:eastAsia="zh-CN"/>
              </w:rPr>
              <w:t>3</w:t>
            </w:r>
            <w:r>
              <w:rPr>
                <w:rFonts w:hint="eastAsia"/>
                <w:spacing w:val="-1"/>
                <w:lang w:eastAsia="zh-CN"/>
              </w:rPr>
              <w:t>.</w:t>
            </w:r>
            <w:r>
              <w:rPr>
                <w:spacing w:val="-1"/>
                <w:lang w:eastAsia="zh-CN"/>
              </w:rPr>
              <w:t>图谱保存和导出；图谱窗口处理；一键式数据导入(CSV或ACSII格式数据直接图谱显示)</w:t>
            </w:r>
            <w:r>
              <w:rPr>
                <w:rFonts w:hint="eastAsia"/>
                <w:spacing w:val="-1"/>
                <w:lang w:eastAsia="zh-CN"/>
              </w:rPr>
              <w:t>；</w:t>
            </w:r>
            <w:r>
              <w:rPr>
                <w:spacing w:val="-1"/>
                <w:lang w:eastAsia="zh-CN"/>
              </w:rPr>
              <w:t>绘制标准曲线；手动输入标准曲线；激发扫描、发射扫描、同步扫描、3D扫描、动力学测量、定量测量、 各向异性测量。</w:t>
            </w:r>
          </w:p>
          <w:p w14:paraId="5F09B2AF">
            <w:pPr>
              <w:pStyle w:val="42"/>
              <w:spacing w:before="7" w:line="305" w:lineRule="auto"/>
              <w:rPr>
                <w:spacing w:val="-1"/>
                <w:lang w:eastAsia="zh-CN"/>
              </w:rPr>
            </w:pPr>
            <w:r>
              <w:rPr>
                <w:spacing w:val="-1"/>
                <w:lang w:eastAsia="zh-CN"/>
              </w:rPr>
              <w:t>4</w:t>
            </w:r>
            <w:r>
              <w:rPr>
                <w:rFonts w:hint="eastAsia"/>
                <w:spacing w:val="-1"/>
                <w:lang w:eastAsia="zh-CN"/>
              </w:rPr>
              <w:t>.</w:t>
            </w:r>
            <w:r>
              <w:rPr>
                <w:spacing w:val="-1"/>
                <w:lang w:eastAsia="zh-CN"/>
              </w:rPr>
              <w:t>自动仪器性能自检(包含波长准确度、信噪比、 稳定性、漂移等),三维扫描时间指示。</w:t>
            </w:r>
          </w:p>
          <w:p w14:paraId="38D03FAF">
            <w:pPr>
              <w:pStyle w:val="42"/>
              <w:spacing w:before="7" w:line="305" w:lineRule="auto"/>
              <w:rPr>
                <w:spacing w:val="-1"/>
                <w:lang w:eastAsia="zh-CN"/>
              </w:rPr>
            </w:pPr>
            <w:r>
              <w:rPr>
                <w:spacing w:val="-1"/>
                <w:lang w:eastAsia="zh-CN"/>
              </w:rPr>
              <w:t>三、</w:t>
            </w:r>
            <w:r>
              <w:rPr>
                <w:rFonts w:hint="eastAsia"/>
                <w:spacing w:val="-1"/>
                <w:lang w:eastAsia="zh-CN"/>
              </w:rPr>
              <w:t>其他配件</w:t>
            </w:r>
          </w:p>
          <w:p w14:paraId="7B3375E2">
            <w:pPr>
              <w:pStyle w:val="42"/>
              <w:spacing w:before="7" w:line="305" w:lineRule="auto"/>
              <w:rPr>
                <w:spacing w:val="-1"/>
                <w:highlight w:val="none"/>
                <w:lang w:eastAsia="zh-CN"/>
              </w:rPr>
            </w:pPr>
            <w:r>
              <w:rPr>
                <w:spacing w:val="-1"/>
                <w:lang w:eastAsia="zh-CN"/>
              </w:rPr>
              <w:t>1</w:t>
            </w:r>
            <w:r>
              <w:rPr>
                <w:rFonts w:hint="eastAsia"/>
                <w:spacing w:val="-1"/>
                <w:lang w:eastAsia="zh-CN"/>
              </w:rPr>
              <w:t>.标准液体池</w:t>
            </w:r>
            <w:r>
              <w:rPr>
                <w:rFonts w:hint="eastAsia"/>
                <w:spacing w:val="-1"/>
                <w:highlight w:val="none"/>
                <w:lang w:eastAsia="zh-CN"/>
              </w:rPr>
              <w:t>支架，金属材质，适用于标准荧光石英比色皿，1</w:t>
            </w:r>
            <w:r>
              <w:rPr>
                <w:rFonts w:hint="eastAsia"/>
                <w:spacing w:val="-1"/>
                <w:highlight w:val="none"/>
                <w:lang w:val="en-US" w:eastAsia="zh-CN"/>
              </w:rPr>
              <w:t>0m</w:t>
            </w:r>
            <w:r>
              <w:rPr>
                <w:rFonts w:hint="eastAsia"/>
                <w:spacing w:val="-1"/>
                <w:highlight w:val="none"/>
                <w:lang w:eastAsia="zh-CN"/>
              </w:rPr>
              <w:t>m</w:t>
            </w:r>
            <w:r>
              <w:rPr>
                <w:rFonts w:hint="default" w:ascii="Arial" w:hAnsi="Arial" w:cs="Arial"/>
                <w:spacing w:val="-1"/>
                <w:highlight w:val="none"/>
                <w:lang w:eastAsia="zh-CN"/>
              </w:rPr>
              <w:t>×</w:t>
            </w:r>
            <w:r>
              <w:rPr>
                <w:rFonts w:hint="eastAsia"/>
                <w:spacing w:val="-1"/>
                <w:highlight w:val="none"/>
                <w:lang w:eastAsia="zh-CN"/>
              </w:rPr>
              <w:t>1</w:t>
            </w:r>
            <w:r>
              <w:rPr>
                <w:rFonts w:hint="eastAsia"/>
                <w:spacing w:val="-1"/>
                <w:highlight w:val="none"/>
                <w:lang w:val="en-US" w:eastAsia="zh-CN"/>
              </w:rPr>
              <w:t>0m</w:t>
            </w:r>
            <w:r>
              <w:rPr>
                <w:rFonts w:hint="eastAsia"/>
                <w:spacing w:val="-1"/>
                <w:highlight w:val="none"/>
                <w:lang w:eastAsia="zh-CN"/>
              </w:rPr>
              <w:t>m）1套。</w:t>
            </w:r>
          </w:p>
          <w:p w14:paraId="16E42532">
            <w:pPr>
              <w:pStyle w:val="42"/>
              <w:spacing w:before="7" w:line="305" w:lineRule="auto"/>
              <w:rPr>
                <w:sz w:val="18"/>
                <w:szCs w:val="18"/>
                <w:lang w:eastAsia="zh-CN"/>
              </w:rPr>
            </w:pPr>
            <w:r>
              <w:rPr>
                <w:spacing w:val="-1"/>
                <w:lang w:eastAsia="zh-CN"/>
              </w:rPr>
              <w:t>2</w:t>
            </w:r>
            <w:r>
              <w:rPr>
                <w:rFonts w:hint="eastAsia"/>
                <w:spacing w:val="-1"/>
                <w:lang w:eastAsia="zh-CN"/>
              </w:rPr>
              <w:t>.10mm光程</w:t>
            </w:r>
            <w:r>
              <w:rPr>
                <w:spacing w:val="-1"/>
                <w:lang w:eastAsia="zh-CN"/>
              </w:rPr>
              <w:t>荧光比色皿1个。</w:t>
            </w:r>
          </w:p>
        </w:tc>
        <w:tc>
          <w:tcPr>
            <w:tcW w:w="375" w:type="dxa"/>
            <w:noWrap/>
          </w:tcPr>
          <w:p w14:paraId="1AB08FDC">
            <w:pPr>
              <w:widowControl/>
              <w:rPr>
                <w:rFonts w:ascii="Arial" w:hAnsi="Arial" w:cs="Arial"/>
                <w:kern w:val="0"/>
                <w:szCs w:val="21"/>
              </w:rPr>
            </w:pPr>
            <w:r>
              <w:rPr>
                <w:rFonts w:hint="eastAsia" w:ascii="Arial" w:hAnsi="Arial" w:cs="Arial"/>
                <w:kern w:val="0"/>
                <w:szCs w:val="21"/>
              </w:rPr>
              <w:t>1</w:t>
            </w:r>
          </w:p>
        </w:tc>
        <w:tc>
          <w:tcPr>
            <w:tcW w:w="465" w:type="dxa"/>
            <w:noWrap/>
          </w:tcPr>
          <w:p w14:paraId="2339F74B">
            <w:pPr>
              <w:widowControl/>
              <w:rPr>
                <w:rFonts w:ascii="Arial" w:hAnsi="Arial" w:cs="Arial"/>
                <w:kern w:val="0"/>
                <w:szCs w:val="21"/>
              </w:rPr>
            </w:pPr>
            <w:r>
              <w:rPr>
                <w:rFonts w:hint="eastAsia" w:ascii="Arial" w:hAnsi="Arial" w:cs="Arial"/>
                <w:kern w:val="0"/>
                <w:szCs w:val="21"/>
              </w:rPr>
              <w:t>套</w:t>
            </w:r>
          </w:p>
        </w:tc>
      </w:tr>
      <w:tr w14:paraId="013E8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1467" w:type="dxa"/>
            <w:gridSpan w:val="2"/>
            <w:vAlign w:val="top"/>
          </w:tcPr>
          <w:p w14:paraId="53C54A08">
            <w:pPr>
              <w:widowControl/>
              <w:jc w:val="center"/>
              <w:rPr>
                <w:rFonts w:ascii="宋体" w:hAnsi="宋体" w:eastAsia="宋体" w:cs="宋体"/>
                <w:spacing w:val="-1"/>
                <w:kern w:val="2"/>
                <w:sz w:val="19"/>
                <w:szCs w:val="19"/>
                <w:lang w:val="en-US" w:eastAsia="zh-CN" w:bidi="ar-SA"/>
              </w:rPr>
            </w:pPr>
            <w:r>
              <w:rPr>
                <w:rFonts w:ascii="宋体" w:hAnsi="宋体" w:eastAsia="宋体" w:cs="宋体"/>
                <w:spacing w:val="-1"/>
                <w:kern w:val="2"/>
                <w:sz w:val="19"/>
                <w:szCs w:val="19"/>
                <w:lang w:val="en-US" w:eastAsia="zh-CN" w:bidi="ar-SA"/>
              </w:rPr>
              <w:t>商务要求</w:t>
            </w:r>
          </w:p>
        </w:tc>
        <w:tc>
          <w:tcPr>
            <w:tcW w:w="8599" w:type="dxa"/>
            <w:gridSpan w:val="3"/>
            <w:noWrap/>
          </w:tcPr>
          <w:p w14:paraId="4EBDE69D">
            <w:pPr>
              <w:spacing w:line="360" w:lineRule="auto"/>
              <w:jc w:val="left"/>
              <w:rPr>
                <w:rFonts w:ascii="宋体" w:hAnsi="宋体" w:eastAsia="宋体" w:cs="宋体"/>
                <w:spacing w:val="-1"/>
                <w:kern w:val="2"/>
                <w:sz w:val="19"/>
                <w:szCs w:val="19"/>
                <w:lang w:val="en-US" w:eastAsia="zh-CN" w:bidi="ar-SA"/>
              </w:rPr>
            </w:pPr>
            <w:r>
              <w:rPr>
                <w:rFonts w:hint="eastAsia" w:ascii="宋体" w:hAnsi="宋体" w:eastAsia="宋体" w:cs="宋体"/>
                <w:spacing w:val="-1"/>
                <w:kern w:val="2"/>
                <w:sz w:val="19"/>
                <w:szCs w:val="19"/>
                <w:lang w:val="en-US" w:eastAsia="zh-CN" w:bidi="ar-SA"/>
              </w:rPr>
              <w:t>1.供货时间：自合同签订之日起30 日内验收合格并交付使用。</w:t>
            </w:r>
          </w:p>
          <w:p w14:paraId="5E532021">
            <w:pPr>
              <w:spacing w:line="360" w:lineRule="auto"/>
              <w:jc w:val="left"/>
              <w:rPr>
                <w:rFonts w:ascii="宋体" w:hAnsi="宋体" w:eastAsia="宋体" w:cs="宋体"/>
                <w:spacing w:val="-1"/>
                <w:kern w:val="2"/>
                <w:sz w:val="19"/>
                <w:szCs w:val="19"/>
                <w:lang w:val="en-US" w:eastAsia="zh-CN" w:bidi="ar-SA"/>
              </w:rPr>
            </w:pPr>
            <w:r>
              <w:rPr>
                <w:rFonts w:hint="eastAsia" w:ascii="宋体" w:hAnsi="宋体" w:eastAsia="宋体" w:cs="宋体"/>
                <w:spacing w:val="-1"/>
                <w:kern w:val="2"/>
                <w:sz w:val="19"/>
                <w:szCs w:val="19"/>
                <w:lang w:val="en-US" w:eastAsia="zh-CN" w:bidi="ar-SA"/>
              </w:rPr>
              <w:t>质保期：自验收合格并交付使用之日起 1 年。</w:t>
            </w:r>
          </w:p>
          <w:p w14:paraId="71A1955F">
            <w:pPr>
              <w:pStyle w:val="7"/>
              <w:rPr>
                <w:rFonts w:ascii="宋体" w:hAnsi="宋体" w:eastAsia="宋体" w:cs="宋体"/>
                <w:spacing w:val="-1"/>
                <w:kern w:val="2"/>
                <w:sz w:val="19"/>
                <w:szCs w:val="19"/>
                <w:lang w:val="en-US" w:eastAsia="zh-CN" w:bidi="ar-SA"/>
              </w:rPr>
            </w:pPr>
            <w:r>
              <w:rPr>
                <w:rFonts w:hint="eastAsia" w:ascii="宋体" w:hAnsi="宋体" w:eastAsia="宋体" w:cs="宋体"/>
                <w:spacing w:val="-1"/>
                <w:kern w:val="2"/>
                <w:sz w:val="19"/>
                <w:szCs w:val="19"/>
                <w:lang w:val="en-US" w:eastAsia="zh-CN" w:bidi="ar-SA"/>
              </w:rPr>
              <w:t>2.技术支持和服务要求</w:t>
            </w:r>
          </w:p>
          <w:p w14:paraId="43DE3292">
            <w:pPr>
              <w:snapToGrid w:val="0"/>
              <w:spacing w:line="276" w:lineRule="auto"/>
              <w:rPr>
                <w:rFonts w:ascii="宋体" w:hAnsi="宋体" w:eastAsia="宋体" w:cs="宋体"/>
                <w:spacing w:val="-1"/>
                <w:kern w:val="2"/>
                <w:sz w:val="19"/>
                <w:szCs w:val="19"/>
                <w:lang w:val="en-US" w:eastAsia="zh-CN" w:bidi="ar-SA"/>
              </w:rPr>
            </w:pPr>
            <w:r>
              <w:rPr>
                <w:rFonts w:hint="eastAsia" w:ascii="宋体" w:hAnsi="宋体" w:eastAsia="宋体" w:cs="宋体"/>
                <w:spacing w:val="-1"/>
                <w:kern w:val="2"/>
                <w:sz w:val="19"/>
                <w:szCs w:val="19"/>
                <w:lang w:val="en-US" w:eastAsia="zh-CN" w:bidi="ar-SA"/>
              </w:rPr>
              <w:t>（1）本</w:t>
            </w:r>
            <w:r>
              <w:rPr>
                <w:rFonts w:ascii="宋体" w:hAnsi="宋体" w:eastAsia="宋体" w:cs="宋体"/>
                <w:spacing w:val="-1"/>
                <w:kern w:val="2"/>
                <w:sz w:val="19"/>
                <w:szCs w:val="19"/>
                <w:lang w:val="en-US" w:eastAsia="zh-CN" w:bidi="ar-SA"/>
              </w:rPr>
              <w:t>项目所提供的全部货物（含硬件、软件及服务）必须完全满足</w:t>
            </w:r>
            <w:r>
              <w:rPr>
                <w:rFonts w:hint="eastAsia" w:ascii="宋体" w:hAnsi="宋体" w:eastAsia="宋体" w:cs="宋体"/>
                <w:spacing w:val="-1"/>
                <w:kern w:val="2"/>
                <w:sz w:val="19"/>
                <w:szCs w:val="19"/>
                <w:lang w:val="en-US" w:eastAsia="zh-CN" w:bidi="ar-SA"/>
              </w:rPr>
              <w:t>报价</w:t>
            </w:r>
            <w:r>
              <w:rPr>
                <w:rFonts w:ascii="宋体" w:hAnsi="宋体" w:eastAsia="宋体" w:cs="宋体"/>
                <w:spacing w:val="-1"/>
                <w:kern w:val="2"/>
                <w:sz w:val="19"/>
                <w:szCs w:val="19"/>
                <w:lang w:val="en-US" w:eastAsia="zh-CN" w:bidi="ar-SA"/>
              </w:rPr>
              <w:t>文件所述要求，如中标</w:t>
            </w:r>
            <w:r>
              <w:rPr>
                <w:rFonts w:hint="eastAsia" w:ascii="宋体" w:hAnsi="宋体" w:eastAsia="宋体" w:cs="宋体"/>
                <w:spacing w:val="-1"/>
                <w:kern w:val="2"/>
                <w:sz w:val="19"/>
                <w:szCs w:val="19"/>
                <w:lang w:val="en-US" w:eastAsia="zh-CN" w:bidi="ar-SA"/>
              </w:rPr>
              <w:t>报价人</w:t>
            </w:r>
            <w:r>
              <w:rPr>
                <w:rFonts w:ascii="宋体" w:hAnsi="宋体" w:eastAsia="宋体" w:cs="宋体"/>
                <w:spacing w:val="-1"/>
                <w:kern w:val="2"/>
                <w:sz w:val="19"/>
                <w:szCs w:val="19"/>
                <w:lang w:val="en-US" w:eastAsia="zh-CN" w:bidi="ar-SA"/>
              </w:rPr>
              <w:t>在</w:t>
            </w:r>
            <w:r>
              <w:rPr>
                <w:rFonts w:hint="eastAsia" w:ascii="宋体" w:hAnsi="宋体" w:eastAsia="宋体" w:cs="宋体"/>
                <w:spacing w:val="-1"/>
                <w:kern w:val="2"/>
                <w:sz w:val="19"/>
                <w:szCs w:val="19"/>
                <w:lang w:val="en-US" w:eastAsia="zh-CN" w:bidi="ar-SA"/>
              </w:rPr>
              <w:t>报价</w:t>
            </w:r>
            <w:r>
              <w:rPr>
                <w:rFonts w:ascii="宋体" w:hAnsi="宋体" w:eastAsia="宋体" w:cs="宋体"/>
                <w:spacing w:val="-1"/>
                <w:kern w:val="2"/>
                <w:sz w:val="19"/>
                <w:szCs w:val="19"/>
                <w:lang w:val="en-US" w:eastAsia="zh-CN" w:bidi="ar-SA"/>
              </w:rPr>
              <w:t>文件中有承诺正偏离的应按其正偏离内容执行。</w:t>
            </w:r>
          </w:p>
          <w:p w14:paraId="2A730F64">
            <w:pPr>
              <w:pStyle w:val="7"/>
              <w:rPr>
                <w:rFonts w:ascii="宋体" w:hAnsi="宋体" w:eastAsia="宋体" w:cs="宋体"/>
                <w:spacing w:val="-1"/>
                <w:kern w:val="2"/>
                <w:sz w:val="19"/>
                <w:szCs w:val="19"/>
                <w:lang w:val="en-US" w:eastAsia="zh-CN" w:bidi="ar-SA"/>
              </w:rPr>
            </w:pPr>
            <w:r>
              <w:rPr>
                <w:rFonts w:hint="eastAsia" w:ascii="宋体" w:hAnsi="宋体" w:eastAsia="宋体" w:cs="宋体"/>
                <w:spacing w:val="-1"/>
                <w:kern w:val="2"/>
                <w:sz w:val="19"/>
                <w:szCs w:val="19"/>
                <w:lang w:val="en-US" w:eastAsia="zh-CN" w:bidi="ar-SA"/>
              </w:rPr>
              <w:t>（2）本</w:t>
            </w:r>
            <w:r>
              <w:rPr>
                <w:rFonts w:ascii="宋体" w:hAnsi="宋体" w:eastAsia="宋体" w:cs="宋体"/>
                <w:spacing w:val="-1"/>
                <w:kern w:val="2"/>
                <w:sz w:val="19"/>
                <w:szCs w:val="19"/>
                <w:lang w:val="en-US" w:eastAsia="zh-CN" w:bidi="ar-SA"/>
              </w:rPr>
              <w:t>项目所提供的全部货物</w:t>
            </w:r>
            <w:r>
              <w:rPr>
                <w:rFonts w:hint="eastAsia" w:ascii="宋体" w:hAnsi="宋体" w:eastAsia="宋体" w:cs="宋体"/>
                <w:spacing w:val="-1"/>
                <w:kern w:val="2"/>
                <w:sz w:val="19"/>
                <w:szCs w:val="19"/>
                <w:lang w:val="en-US" w:eastAsia="zh-CN" w:bidi="ar-SA"/>
              </w:rPr>
              <w:t>必须是全新完好的、符合国家及行业相关标准、可追溯并享受原厂售后服务的正规合格产品</w:t>
            </w:r>
            <w:r>
              <w:rPr>
                <w:rFonts w:ascii="宋体" w:hAnsi="宋体" w:eastAsia="宋体" w:cs="宋体"/>
                <w:spacing w:val="-1"/>
                <w:kern w:val="2"/>
                <w:sz w:val="19"/>
                <w:szCs w:val="19"/>
                <w:lang w:val="en-US" w:eastAsia="zh-CN" w:bidi="ar-SA"/>
              </w:rPr>
              <w:t>。</w:t>
            </w:r>
            <w:r>
              <w:rPr>
                <w:rFonts w:hint="eastAsia" w:ascii="宋体" w:hAnsi="宋体" w:eastAsia="宋体" w:cs="宋体"/>
                <w:spacing w:val="-1"/>
                <w:kern w:val="2"/>
                <w:sz w:val="19"/>
                <w:szCs w:val="19"/>
                <w:lang w:val="en-US" w:eastAsia="zh-CN" w:bidi="ar-SA"/>
              </w:rPr>
              <w:t>若产品在运输过程中损坏须无偿调换同样产品，以达到供货要求。国家有关规定报价人承诺实行“三包”（包退、包换、包修）服务，其他售后服务按成交人提交的售后服务承诺书执行。</w:t>
            </w:r>
            <w:r>
              <w:rPr>
                <w:rFonts w:ascii="宋体" w:hAnsi="宋体" w:eastAsia="宋体" w:cs="宋体"/>
                <w:spacing w:val="-1"/>
                <w:kern w:val="2"/>
                <w:sz w:val="19"/>
                <w:szCs w:val="19"/>
                <w:lang w:val="en-US" w:eastAsia="zh-CN" w:bidi="ar-SA"/>
              </w:rPr>
              <w:t>中标</w:t>
            </w:r>
            <w:r>
              <w:rPr>
                <w:rFonts w:hint="eastAsia" w:ascii="宋体" w:hAnsi="宋体" w:eastAsia="宋体" w:cs="宋体"/>
                <w:spacing w:val="-1"/>
                <w:kern w:val="2"/>
                <w:sz w:val="19"/>
                <w:szCs w:val="19"/>
                <w:lang w:val="en-US" w:eastAsia="zh-CN" w:bidi="ar-SA"/>
              </w:rPr>
              <w:t>报价人</w:t>
            </w:r>
            <w:r>
              <w:rPr>
                <w:rFonts w:ascii="宋体" w:hAnsi="宋体" w:eastAsia="宋体" w:cs="宋体"/>
                <w:spacing w:val="-1"/>
                <w:kern w:val="2"/>
                <w:sz w:val="19"/>
                <w:szCs w:val="19"/>
                <w:lang w:val="en-US" w:eastAsia="zh-CN" w:bidi="ar-SA"/>
              </w:rPr>
              <w:t>售后服务中维护使用的备品备件及易损件须为原厂全新配件，未经采购人同意不得使用非原厂配件。且进行维护的人员须为中标</w:t>
            </w:r>
            <w:r>
              <w:rPr>
                <w:rFonts w:hint="eastAsia" w:ascii="宋体" w:hAnsi="宋体" w:eastAsia="宋体" w:cs="宋体"/>
                <w:spacing w:val="-1"/>
                <w:kern w:val="2"/>
                <w:sz w:val="19"/>
                <w:szCs w:val="19"/>
                <w:lang w:val="en-US" w:eastAsia="zh-CN" w:bidi="ar-SA"/>
              </w:rPr>
              <w:t>报价人</w:t>
            </w:r>
            <w:r>
              <w:rPr>
                <w:rFonts w:ascii="宋体" w:hAnsi="宋体" w:eastAsia="宋体" w:cs="宋体"/>
                <w:spacing w:val="-1"/>
                <w:kern w:val="2"/>
                <w:sz w:val="19"/>
                <w:szCs w:val="19"/>
                <w:lang w:val="en-US" w:eastAsia="zh-CN" w:bidi="ar-SA"/>
              </w:rPr>
              <w:t>认可的有资质专业技术人员。</w:t>
            </w:r>
          </w:p>
          <w:p w14:paraId="391EDD6F">
            <w:pPr>
              <w:snapToGrid w:val="0"/>
              <w:spacing w:line="276" w:lineRule="auto"/>
              <w:rPr>
                <w:rFonts w:ascii="宋体" w:hAnsi="宋体" w:eastAsia="宋体" w:cs="宋体"/>
                <w:spacing w:val="-1"/>
                <w:kern w:val="2"/>
                <w:sz w:val="19"/>
                <w:szCs w:val="19"/>
                <w:lang w:val="en-US" w:eastAsia="zh-CN" w:bidi="ar-SA"/>
              </w:rPr>
            </w:pPr>
            <w:r>
              <w:rPr>
                <w:rFonts w:hint="eastAsia" w:ascii="宋体" w:hAnsi="宋体" w:eastAsia="宋体" w:cs="宋体"/>
                <w:spacing w:val="-1"/>
                <w:kern w:val="2"/>
                <w:sz w:val="19"/>
                <w:szCs w:val="19"/>
                <w:lang w:val="en-US" w:eastAsia="zh-CN" w:bidi="ar-SA"/>
              </w:rPr>
              <w:t>（3）</w:t>
            </w:r>
            <w:r>
              <w:rPr>
                <w:rFonts w:ascii="宋体" w:hAnsi="宋体" w:eastAsia="宋体" w:cs="宋体"/>
                <w:spacing w:val="-1"/>
                <w:kern w:val="2"/>
                <w:sz w:val="19"/>
                <w:szCs w:val="19"/>
                <w:lang w:val="en-US" w:eastAsia="zh-CN" w:bidi="ar-SA"/>
              </w:rPr>
              <w:t>对于</w:t>
            </w:r>
            <w:r>
              <w:rPr>
                <w:rFonts w:hint="eastAsia" w:ascii="宋体" w:hAnsi="宋体" w:eastAsia="宋体" w:cs="宋体"/>
                <w:spacing w:val="-1"/>
                <w:kern w:val="2"/>
                <w:sz w:val="19"/>
                <w:szCs w:val="19"/>
                <w:lang w:val="en-US" w:eastAsia="zh-CN" w:bidi="ar-SA"/>
              </w:rPr>
              <w:t>采购文件中定制货物，报价人必须在报价文件中列出所投货物重要组件的品牌型号；</w:t>
            </w:r>
            <w:r>
              <w:rPr>
                <w:rFonts w:ascii="宋体" w:hAnsi="宋体" w:eastAsia="宋体" w:cs="宋体"/>
                <w:spacing w:val="-1"/>
                <w:kern w:val="2"/>
                <w:sz w:val="19"/>
                <w:szCs w:val="19"/>
                <w:lang w:val="en-US" w:eastAsia="zh-CN" w:bidi="ar-SA"/>
              </w:rPr>
              <w:t>在送达采购人指定地点时已完成组装的定制货物，由于其组装状态，难以对货物的重要组件进行核实，</w:t>
            </w:r>
            <w:r>
              <w:rPr>
                <w:rFonts w:hint="eastAsia" w:ascii="宋体" w:hAnsi="宋体" w:eastAsia="宋体" w:cs="宋体"/>
                <w:spacing w:val="-1"/>
                <w:kern w:val="2"/>
                <w:sz w:val="19"/>
                <w:szCs w:val="19"/>
                <w:lang w:val="en-US" w:eastAsia="zh-CN" w:bidi="ar-SA"/>
              </w:rPr>
              <w:t>报价人必须</w:t>
            </w:r>
            <w:r>
              <w:rPr>
                <w:rFonts w:ascii="宋体" w:hAnsi="宋体" w:eastAsia="宋体" w:cs="宋体"/>
                <w:spacing w:val="-1"/>
                <w:kern w:val="2"/>
                <w:sz w:val="19"/>
                <w:szCs w:val="19"/>
                <w:lang w:val="en-US" w:eastAsia="zh-CN" w:bidi="ar-SA"/>
              </w:rPr>
              <w:t>在上述货物生产组装前十个工作日书面告知采购人，采购人可根据项目实际情况，到生产厂家进行预验收，以便确认所供货物是否按合同约定采用相应的组件</w:t>
            </w:r>
            <w:r>
              <w:rPr>
                <w:rFonts w:hint="eastAsia" w:ascii="宋体" w:hAnsi="宋体" w:eastAsia="宋体" w:cs="宋体"/>
                <w:spacing w:val="-1"/>
                <w:kern w:val="2"/>
                <w:sz w:val="19"/>
                <w:szCs w:val="19"/>
                <w:lang w:val="en-US" w:eastAsia="zh-CN" w:bidi="ar-SA"/>
              </w:rPr>
              <w:t>、生产工艺及</w:t>
            </w:r>
            <w:r>
              <w:rPr>
                <w:rFonts w:ascii="宋体" w:hAnsi="宋体" w:eastAsia="宋体" w:cs="宋体"/>
                <w:spacing w:val="-1"/>
                <w:kern w:val="2"/>
                <w:sz w:val="19"/>
                <w:szCs w:val="19"/>
                <w:lang w:val="en-US" w:eastAsia="zh-CN" w:bidi="ar-SA"/>
              </w:rPr>
              <w:t>参数是否达到合同约定，费用含在</w:t>
            </w:r>
            <w:r>
              <w:rPr>
                <w:rFonts w:hint="eastAsia" w:ascii="宋体" w:hAnsi="宋体" w:eastAsia="宋体" w:cs="宋体"/>
                <w:spacing w:val="-1"/>
                <w:kern w:val="2"/>
                <w:sz w:val="19"/>
                <w:szCs w:val="19"/>
                <w:lang w:val="en-US" w:eastAsia="zh-CN" w:bidi="ar-SA"/>
              </w:rPr>
              <w:t>报价</w:t>
            </w:r>
            <w:r>
              <w:rPr>
                <w:rFonts w:ascii="宋体" w:hAnsi="宋体" w:eastAsia="宋体" w:cs="宋体"/>
                <w:spacing w:val="-1"/>
                <w:kern w:val="2"/>
                <w:sz w:val="19"/>
                <w:szCs w:val="19"/>
                <w:lang w:val="en-US" w:eastAsia="zh-CN" w:bidi="ar-SA"/>
              </w:rPr>
              <w:t>报价中。</w:t>
            </w:r>
          </w:p>
          <w:p w14:paraId="04CFD601">
            <w:pPr>
              <w:snapToGrid w:val="0"/>
              <w:spacing w:line="276" w:lineRule="auto"/>
              <w:rPr>
                <w:rFonts w:ascii="宋体" w:hAnsi="宋体" w:eastAsia="宋体" w:cs="宋体"/>
                <w:spacing w:val="-1"/>
                <w:kern w:val="2"/>
                <w:sz w:val="19"/>
                <w:szCs w:val="19"/>
                <w:lang w:val="en-US" w:eastAsia="zh-CN" w:bidi="ar-SA"/>
              </w:rPr>
            </w:pPr>
            <w:r>
              <w:rPr>
                <w:rFonts w:hint="eastAsia" w:ascii="宋体" w:hAnsi="宋体" w:eastAsia="宋体" w:cs="宋体"/>
                <w:spacing w:val="-1"/>
                <w:kern w:val="2"/>
                <w:sz w:val="19"/>
                <w:szCs w:val="19"/>
                <w:lang w:val="en-US" w:eastAsia="zh-CN" w:bidi="ar-SA"/>
              </w:rPr>
              <w:t>（4）</w:t>
            </w:r>
            <w:r>
              <w:rPr>
                <w:rFonts w:ascii="宋体" w:hAnsi="宋体" w:eastAsia="宋体" w:cs="宋体"/>
                <w:spacing w:val="-1"/>
                <w:kern w:val="2"/>
                <w:sz w:val="19"/>
                <w:szCs w:val="19"/>
                <w:lang w:val="en-US" w:eastAsia="zh-CN" w:bidi="ar-SA"/>
              </w:rPr>
              <w:t>本项目所含软件（如有）必须为符合采购人适用范围的正版软件（非试用版），</w:t>
            </w:r>
            <w:r>
              <w:rPr>
                <w:rFonts w:hint="eastAsia" w:ascii="宋体" w:hAnsi="宋体" w:eastAsia="宋体" w:cs="宋体"/>
                <w:spacing w:val="-1"/>
                <w:kern w:val="2"/>
                <w:sz w:val="19"/>
                <w:szCs w:val="19"/>
                <w:lang w:val="en-US" w:eastAsia="zh-CN" w:bidi="ar-SA"/>
              </w:rPr>
              <w:t>且根据网络安全法及信息系统等级保护的相关规定，在正式验收前必须经采购人网信部门进行安全扫描，扫描合格后方能进行正式部署及正式验收。若中标报价人对扫描结果有异议，可委托双方认可的具备相关资质第三方检测机构进行检测，相关费用由中标报价人承担。</w:t>
            </w:r>
          </w:p>
          <w:p w14:paraId="5AEDA692">
            <w:pPr>
              <w:snapToGrid w:val="0"/>
              <w:spacing w:line="276" w:lineRule="auto"/>
              <w:rPr>
                <w:rFonts w:ascii="宋体" w:hAnsi="宋体" w:eastAsia="宋体" w:cs="宋体"/>
                <w:spacing w:val="-1"/>
                <w:kern w:val="2"/>
                <w:sz w:val="19"/>
                <w:szCs w:val="19"/>
                <w:lang w:val="en-US" w:eastAsia="zh-CN" w:bidi="ar-SA"/>
              </w:rPr>
            </w:pPr>
            <w:r>
              <w:rPr>
                <w:rFonts w:hint="eastAsia" w:ascii="宋体" w:hAnsi="宋体" w:eastAsia="宋体" w:cs="宋体"/>
                <w:spacing w:val="-1"/>
                <w:kern w:val="2"/>
                <w:sz w:val="19"/>
                <w:szCs w:val="19"/>
                <w:lang w:val="en-US" w:eastAsia="zh-CN" w:bidi="ar-SA"/>
              </w:rPr>
              <w:t>6、</w:t>
            </w:r>
            <w:r>
              <w:rPr>
                <w:rFonts w:ascii="宋体" w:hAnsi="宋体" w:eastAsia="宋体" w:cs="宋体"/>
                <w:spacing w:val="-1"/>
                <w:kern w:val="2"/>
                <w:sz w:val="19"/>
                <w:szCs w:val="19"/>
                <w:lang w:val="en-US" w:eastAsia="zh-CN" w:bidi="ar-SA"/>
              </w:rPr>
              <w:t>本项目</w:t>
            </w:r>
            <w:r>
              <w:rPr>
                <w:rFonts w:hint="eastAsia" w:ascii="宋体" w:hAnsi="宋体" w:eastAsia="宋体" w:cs="宋体"/>
                <w:spacing w:val="-1"/>
                <w:kern w:val="2"/>
                <w:sz w:val="19"/>
                <w:szCs w:val="19"/>
                <w:lang w:val="en-US" w:eastAsia="zh-CN" w:bidi="ar-SA"/>
              </w:rPr>
              <w:t>如有</w:t>
            </w:r>
            <w:r>
              <w:rPr>
                <w:rFonts w:ascii="宋体" w:hAnsi="宋体" w:eastAsia="宋体" w:cs="宋体"/>
                <w:spacing w:val="-1"/>
                <w:kern w:val="2"/>
                <w:sz w:val="19"/>
                <w:szCs w:val="19"/>
                <w:lang w:val="en-US" w:eastAsia="zh-CN" w:bidi="ar-SA"/>
              </w:rPr>
              <w:t>软件（</w:t>
            </w:r>
            <w:r>
              <w:rPr>
                <w:rFonts w:hint="eastAsia" w:ascii="宋体" w:hAnsi="宋体" w:eastAsia="宋体" w:cs="宋体"/>
                <w:spacing w:val="-1"/>
                <w:kern w:val="2"/>
                <w:sz w:val="19"/>
                <w:szCs w:val="19"/>
                <w:lang w:val="en-US" w:eastAsia="zh-CN" w:bidi="ar-SA"/>
              </w:rPr>
              <w:t>不包括随机出厂预装</w:t>
            </w:r>
            <w:r>
              <w:rPr>
                <w:rFonts w:ascii="宋体" w:hAnsi="宋体" w:eastAsia="宋体" w:cs="宋体"/>
                <w:spacing w:val="-1"/>
                <w:kern w:val="2"/>
                <w:sz w:val="19"/>
                <w:szCs w:val="19"/>
                <w:lang w:val="en-US" w:eastAsia="zh-CN" w:bidi="ar-SA"/>
              </w:rPr>
              <w:t>）</w:t>
            </w:r>
            <w:r>
              <w:rPr>
                <w:rFonts w:hint="eastAsia" w:ascii="宋体" w:hAnsi="宋体" w:eastAsia="宋体" w:cs="宋体"/>
                <w:spacing w:val="-1"/>
                <w:kern w:val="2"/>
                <w:sz w:val="19"/>
                <w:szCs w:val="19"/>
                <w:lang w:val="en-US" w:eastAsia="zh-CN" w:bidi="ar-SA"/>
              </w:rPr>
              <w:t>除安装在采购人本地服务器（计算机）上，还必须一式两份用U盘或移动硬盘（接口USB3.0以上质保期不低于三年）将软件安装包、软件使用说明书、技术文档、软件常规操作录屏分目录存放，验收前一并交付给采购人。</w:t>
            </w:r>
            <w:r>
              <w:rPr>
                <w:rFonts w:ascii="宋体" w:hAnsi="宋体" w:eastAsia="宋体" w:cs="宋体"/>
                <w:spacing w:val="-1"/>
                <w:kern w:val="2"/>
                <w:sz w:val="19"/>
                <w:szCs w:val="19"/>
                <w:lang w:val="en-US" w:eastAsia="zh-CN" w:bidi="ar-SA"/>
              </w:rPr>
              <w:t>在本项目合同约定的质保期过后，</w:t>
            </w:r>
            <w:r>
              <w:rPr>
                <w:rFonts w:hint="eastAsia" w:ascii="宋体" w:hAnsi="宋体" w:eastAsia="宋体" w:cs="宋体"/>
                <w:spacing w:val="-1"/>
                <w:kern w:val="2"/>
                <w:sz w:val="19"/>
                <w:szCs w:val="19"/>
                <w:lang w:val="en-US" w:eastAsia="zh-CN" w:bidi="ar-SA"/>
              </w:rPr>
              <w:t>中标报价人</w:t>
            </w:r>
            <w:r>
              <w:rPr>
                <w:rFonts w:ascii="宋体" w:hAnsi="宋体" w:eastAsia="宋体" w:cs="宋体"/>
                <w:spacing w:val="-1"/>
                <w:kern w:val="2"/>
                <w:sz w:val="19"/>
                <w:szCs w:val="19"/>
                <w:lang w:val="en-US" w:eastAsia="zh-CN" w:bidi="ar-SA"/>
              </w:rPr>
              <w:t>需确保该软件其功能仍与交付验收时一致不受限制</w:t>
            </w:r>
            <w:r>
              <w:rPr>
                <w:rFonts w:hint="eastAsia" w:ascii="宋体" w:hAnsi="宋体" w:eastAsia="宋体" w:cs="宋体"/>
                <w:spacing w:val="-1"/>
                <w:kern w:val="2"/>
                <w:sz w:val="19"/>
                <w:szCs w:val="19"/>
                <w:lang w:val="en-US" w:eastAsia="zh-CN" w:bidi="ar-SA"/>
              </w:rPr>
              <w:t>或减少</w:t>
            </w:r>
            <w:r>
              <w:rPr>
                <w:rFonts w:ascii="宋体" w:hAnsi="宋体" w:eastAsia="宋体" w:cs="宋体"/>
                <w:spacing w:val="-1"/>
                <w:kern w:val="2"/>
                <w:sz w:val="19"/>
                <w:szCs w:val="19"/>
                <w:lang w:val="en-US" w:eastAsia="zh-CN" w:bidi="ar-SA"/>
              </w:rPr>
              <w:t>（如合同另有约定的按合同约定），质保期过后如需对软件进行升级或售后服务双方再行协商。</w:t>
            </w:r>
          </w:p>
          <w:p w14:paraId="603E2FCD">
            <w:pPr>
              <w:pStyle w:val="7"/>
              <w:rPr>
                <w:rFonts w:ascii="宋体" w:hAnsi="宋体" w:eastAsia="宋体" w:cs="宋体"/>
                <w:spacing w:val="-1"/>
                <w:kern w:val="2"/>
                <w:sz w:val="19"/>
                <w:szCs w:val="19"/>
                <w:lang w:val="en-US" w:eastAsia="zh-CN" w:bidi="ar-SA"/>
              </w:rPr>
            </w:pPr>
            <w:r>
              <w:rPr>
                <w:rFonts w:hint="eastAsia" w:ascii="宋体" w:hAnsi="宋体" w:eastAsia="宋体" w:cs="宋体"/>
                <w:spacing w:val="-1"/>
                <w:kern w:val="2"/>
                <w:sz w:val="19"/>
                <w:szCs w:val="19"/>
                <w:lang w:val="en-US" w:eastAsia="zh-CN" w:bidi="ar-SA"/>
              </w:rPr>
              <w:t>3.知识产权</w:t>
            </w:r>
          </w:p>
          <w:p w14:paraId="51E14565">
            <w:pPr>
              <w:pStyle w:val="7"/>
              <w:rPr>
                <w:rFonts w:ascii="宋体" w:hAnsi="宋体" w:eastAsia="宋体" w:cs="宋体"/>
                <w:spacing w:val="-1"/>
                <w:kern w:val="2"/>
                <w:sz w:val="19"/>
                <w:szCs w:val="19"/>
                <w:lang w:val="en-US" w:eastAsia="zh-CN" w:bidi="ar-SA"/>
              </w:rPr>
            </w:pPr>
            <w:r>
              <w:rPr>
                <w:rFonts w:hint="eastAsia" w:ascii="宋体" w:hAnsi="宋体" w:eastAsia="宋体" w:cs="宋体"/>
                <w:spacing w:val="-1"/>
                <w:kern w:val="2"/>
                <w:sz w:val="19"/>
                <w:szCs w:val="19"/>
                <w:lang w:val="en-US" w:eastAsia="zh-CN" w:bidi="ar-SA"/>
              </w:rPr>
              <w:t>（1）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14:paraId="7BF3C490">
            <w:pPr>
              <w:pStyle w:val="7"/>
              <w:rPr>
                <w:rFonts w:ascii="宋体" w:hAnsi="宋体" w:eastAsia="宋体" w:cs="宋体"/>
                <w:spacing w:val="-1"/>
                <w:kern w:val="2"/>
                <w:sz w:val="19"/>
                <w:szCs w:val="19"/>
                <w:lang w:val="en-US" w:eastAsia="zh-CN" w:bidi="ar-SA"/>
              </w:rPr>
            </w:pPr>
            <w:r>
              <w:rPr>
                <w:rFonts w:hint="eastAsia" w:ascii="宋体" w:hAnsi="宋体" w:eastAsia="宋体" w:cs="宋体"/>
                <w:spacing w:val="-1"/>
                <w:kern w:val="2"/>
                <w:sz w:val="19"/>
                <w:szCs w:val="19"/>
                <w:lang w:val="en-US" w:eastAsia="zh-CN" w:bidi="ar-SA"/>
              </w:rPr>
              <w:t>（2）报价人因未经授权而实施的商业性复制行为构成违约或侵权责任造成采购人损失的，由其承担相关责任并赔偿采购人经济损失。</w:t>
            </w:r>
          </w:p>
          <w:p w14:paraId="29F43F86">
            <w:pPr>
              <w:snapToGrid w:val="0"/>
              <w:spacing w:line="276" w:lineRule="auto"/>
              <w:rPr>
                <w:rFonts w:ascii="宋体" w:hAnsi="宋体" w:eastAsia="宋体" w:cs="宋体"/>
                <w:spacing w:val="-1"/>
                <w:kern w:val="2"/>
                <w:sz w:val="19"/>
                <w:szCs w:val="19"/>
                <w:lang w:val="en-US" w:eastAsia="zh-CN" w:bidi="ar-SA"/>
              </w:rPr>
            </w:pPr>
            <w:r>
              <w:rPr>
                <w:rFonts w:hint="eastAsia" w:ascii="宋体" w:hAnsi="宋体" w:eastAsia="宋体" w:cs="宋体"/>
                <w:spacing w:val="-1"/>
                <w:kern w:val="2"/>
                <w:sz w:val="19"/>
                <w:szCs w:val="19"/>
                <w:lang w:val="en-US" w:eastAsia="zh-CN" w:bidi="ar-SA"/>
              </w:rPr>
              <w:t>（3）</w:t>
            </w:r>
            <w:r>
              <w:rPr>
                <w:rFonts w:ascii="宋体" w:hAnsi="宋体" w:eastAsia="宋体" w:cs="宋体"/>
                <w:spacing w:val="-1"/>
                <w:kern w:val="2"/>
                <w:sz w:val="19"/>
                <w:szCs w:val="19"/>
                <w:lang w:val="en-US" w:eastAsia="zh-CN" w:bidi="ar-SA"/>
              </w:rPr>
              <w:t>中标</w:t>
            </w:r>
            <w:r>
              <w:rPr>
                <w:rFonts w:hint="eastAsia" w:ascii="宋体" w:hAnsi="宋体" w:eastAsia="宋体" w:cs="宋体"/>
                <w:spacing w:val="-1"/>
                <w:kern w:val="2"/>
                <w:sz w:val="19"/>
                <w:szCs w:val="19"/>
                <w:lang w:val="en-US" w:eastAsia="zh-CN" w:bidi="ar-SA"/>
              </w:rPr>
              <w:t>报价人</w:t>
            </w:r>
            <w:r>
              <w:rPr>
                <w:rFonts w:ascii="宋体" w:hAnsi="宋体" w:eastAsia="宋体" w:cs="宋体"/>
                <w:spacing w:val="-1"/>
                <w:kern w:val="2"/>
                <w:sz w:val="19"/>
                <w:szCs w:val="19"/>
                <w:lang w:val="en-US" w:eastAsia="zh-CN" w:bidi="ar-SA"/>
              </w:rPr>
              <w:t>应保证针对本项目的货物（含硬件、软件及服务）涉及的知识产权和所提供的相关技术资料是合法取得，并享有完整的知识产权，不会因为采购人的使用而被责令停止使用、追偿或要求赔偿损失，如出现此情况，一切经济和法律责任均由</w:t>
            </w:r>
            <w:r>
              <w:rPr>
                <w:rFonts w:hint="eastAsia" w:ascii="宋体" w:hAnsi="宋体" w:eastAsia="宋体" w:cs="宋体"/>
                <w:spacing w:val="-1"/>
                <w:kern w:val="2"/>
                <w:sz w:val="19"/>
                <w:szCs w:val="19"/>
                <w:lang w:val="en-US" w:eastAsia="zh-CN" w:bidi="ar-SA"/>
              </w:rPr>
              <w:t>报价</w:t>
            </w:r>
            <w:r>
              <w:rPr>
                <w:rFonts w:ascii="宋体" w:hAnsi="宋体" w:eastAsia="宋体" w:cs="宋体"/>
                <w:spacing w:val="-1"/>
                <w:kern w:val="2"/>
                <w:sz w:val="19"/>
                <w:szCs w:val="19"/>
                <w:lang w:val="en-US" w:eastAsia="zh-CN" w:bidi="ar-SA"/>
              </w:rPr>
              <w:t>人承担。</w:t>
            </w:r>
          </w:p>
          <w:p w14:paraId="58011716">
            <w:pPr>
              <w:widowControl/>
              <w:adjustRightInd w:val="0"/>
              <w:snapToGrid w:val="0"/>
              <w:spacing w:line="520" w:lineRule="exact"/>
              <w:jc w:val="left"/>
              <w:rPr>
                <w:rFonts w:ascii="宋体" w:hAnsi="宋体" w:eastAsia="宋体" w:cs="宋体"/>
                <w:spacing w:val="-1"/>
                <w:kern w:val="2"/>
                <w:sz w:val="19"/>
                <w:szCs w:val="19"/>
                <w:lang w:val="en-US" w:eastAsia="zh-CN" w:bidi="ar-SA"/>
              </w:rPr>
            </w:pPr>
            <w:r>
              <w:rPr>
                <w:rFonts w:hint="eastAsia" w:ascii="宋体" w:hAnsi="宋体" w:eastAsia="宋体" w:cs="宋体"/>
                <w:spacing w:val="-1"/>
                <w:kern w:val="2"/>
                <w:sz w:val="19"/>
                <w:szCs w:val="19"/>
                <w:lang w:val="en-US" w:eastAsia="zh-CN" w:bidi="ar-SA"/>
              </w:rPr>
              <w:t>4.</w:t>
            </w:r>
            <w:r>
              <w:rPr>
                <w:rFonts w:ascii="宋体" w:hAnsi="宋体" w:eastAsia="宋体" w:cs="宋体"/>
                <w:spacing w:val="-1"/>
                <w:kern w:val="2"/>
                <w:sz w:val="19"/>
                <w:szCs w:val="19"/>
                <w:lang w:val="en-US" w:eastAsia="zh-CN" w:bidi="ar-SA"/>
              </w:rPr>
              <w:t>付款</w:t>
            </w:r>
            <w:r>
              <w:rPr>
                <w:rFonts w:hint="eastAsia" w:ascii="宋体" w:hAnsi="宋体" w:eastAsia="宋体" w:cs="宋体"/>
                <w:spacing w:val="-1"/>
                <w:kern w:val="2"/>
                <w:sz w:val="19"/>
                <w:szCs w:val="19"/>
                <w:lang w:val="en-US" w:eastAsia="zh-CN" w:bidi="ar-SA"/>
              </w:rPr>
              <w:t>要求</w:t>
            </w:r>
          </w:p>
          <w:p w14:paraId="28EBC054">
            <w:pPr>
              <w:widowControl/>
              <w:adjustRightInd w:val="0"/>
              <w:snapToGrid w:val="0"/>
              <w:spacing w:line="520" w:lineRule="exact"/>
              <w:jc w:val="left"/>
              <w:rPr>
                <w:rFonts w:ascii="宋体" w:hAnsi="宋体" w:eastAsia="宋体" w:cs="宋体"/>
                <w:spacing w:val="-1"/>
                <w:kern w:val="2"/>
                <w:sz w:val="19"/>
                <w:szCs w:val="19"/>
                <w:lang w:val="en-US" w:eastAsia="zh-CN" w:bidi="ar-SA"/>
              </w:rPr>
            </w:pPr>
            <w:r>
              <w:rPr>
                <w:rFonts w:ascii="宋体" w:hAnsi="宋体" w:eastAsia="宋体" w:cs="宋体"/>
                <w:spacing w:val="-1"/>
                <w:kern w:val="2"/>
                <w:sz w:val="19"/>
                <w:szCs w:val="19"/>
                <w:lang w:val="en-US" w:eastAsia="zh-CN" w:bidi="ar-SA"/>
              </w:rPr>
              <w:t>本项目无预付款，合同中所有货物全部安装调试完毕验收合格交付给</w:t>
            </w:r>
            <w:r>
              <w:rPr>
                <w:rFonts w:hint="eastAsia" w:ascii="宋体" w:hAnsi="宋体" w:eastAsia="宋体" w:cs="宋体"/>
                <w:spacing w:val="-1"/>
                <w:kern w:val="2"/>
                <w:sz w:val="19"/>
                <w:szCs w:val="19"/>
                <w:lang w:val="en-US" w:eastAsia="zh-CN" w:bidi="ar-SA"/>
              </w:rPr>
              <w:t>采购人</w:t>
            </w:r>
            <w:r>
              <w:rPr>
                <w:rFonts w:ascii="宋体" w:hAnsi="宋体" w:eastAsia="宋体" w:cs="宋体"/>
                <w:spacing w:val="-1"/>
                <w:kern w:val="2"/>
                <w:sz w:val="19"/>
                <w:szCs w:val="19"/>
                <w:lang w:val="en-US" w:eastAsia="zh-CN" w:bidi="ar-SA"/>
              </w:rPr>
              <w:t>使用后，被选中的</w:t>
            </w:r>
            <w:r>
              <w:rPr>
                <w:rFonts w:hint="eastAsia" w:ascii="宋体" w:hAnsi="宋体" w:eastAsia="宋体" w:cs="宋体"/>
                <w:spacing w:val="-1"/>
                <w:kern w:val="2"/>
                <w:sz w:val="19"/>
                <w:szCs w:val="19"/>
                <w:lang w:val="en-US" w:eastAsia="zh-CN" w:bidi="ar-SA"/>
              </w:rPr>
              <w:t>报价</w:t>
            </w:r>
            <w:r>
              <w:rPr>
                <w:rFonts w:ascii="宋体" w:hAnsi="宋体" w:eastAsia="宋体" w:cs="宋体"/>
                <w:spacing w:val="-1"/>
                <w:kern w:val="2"/>
                <w:sz w:val="19"/>
                <w:szCs w:val="19"/>
                <w:lang w:val="en-US" w:eastAsia="zh-CN" w:bidi="ar-SA"/>
              </w:rPr>
              <w:t>人开具</w:t>
            </w:r>
            <w:r>
              <w:rPr>
                <w:rFonts w:hint="eastAsia" w:ascii="宋体" w:hAnsi="宋体" w:eastAsia="宋体" w:cs="宋体"/>
                <w:spacing w:val="-1"/>
                <w:kern w:val="2"/>
                <w:sz w:val="19"/>
                <w:szCs w:val="19"/>
                <w:lang w:val="en-US" w:eastAsia="zh-CN" w:bidi="ar-SA"/>
              </w:rPr>
              <w:t>全额增值税专用发票</w:t>
            </w:r>
            <w:r>
              <w:rPr>
                <w:rFonts w:ascii="宋体" w:hAnsi="宋体" w:eastAsia="宋体" w:cs="宋体"/>
                <w:spacing w:val="-1"/>
                <w:kern w:val="2"/>
                <w:sz w:val="19"/>
                <w:szCs w:val="19"/>
                <w:lang w:val="en-US" w:eastAsia="zh-CN" w:bidi="ar-SA"/>
              </w:rPr>
              <w:t>给</w:t>
            </w:r>
            <w:r>
              <w:rPr>
                <w:rFonts w:hint="eastAsia" w:ascii="宋体" w:hAnsi="宋体" w:eastAsia="宋体" w:cs="宋体"/>
                <w:spacing w:val="-1"/>
                <w:kern w:val="2"/>
                <w:sz w:val="19"/>
                <w:szCs w:val="19"/>
                <w:lang w:val="en-US" w:eastAsia="zh-CN" w:bidi="ar-SA"/>
              </w:rPr>
              <w:t>采购人</w:t>
            </w:r>
            <w:r>
              <w:rPr>
                <w:rFonts w:ascii="宋体" w:hAnsi="宋体" w:eastAsia="宋体" w:cs="宋体"/>
                <w:spacing w:val="-1"/>
                <w:kern w:val="2"/>
                <w:sz w:val="19"/>
                <w:szCs w:val="19"/>
                <w:lang w:val="en-US" w:eastAsia="zh-CN" w:bidi="ar-SA"/>
              </w:rPr>
              <w:t>，</w:t>
            </w:r>
            <w:r>
              <w:rPr>
                <w:rFonts w:hint="eastAsia" w:ascii="宋体" w:hAnsi="宋体" w:eastAsia="宋体" w:cs="宋体"/>
                <w:spacing w:val="-1"/>
                <w:kern w:val="2"/>
                <w:sz w:val="19"/>
                <w:szCs w:val="19"/>
                <w:lang w:val="en-US" w:eastAsia="zh-CN" w:bidi="ar-SA"/>
              </w:rPr>
              <w:t>采购人</w:t>
            </w:r>
            <w:r>
              <w:rPr>
                <w:rFonts w:ascii="宋体" w:hAnsi="宋体" w:eastAsia="宋体" w:cs="宋体"/>
                <w:spacing w:val="-1"/>
                <w:kern w:val="2"/>
                <w:sz w:val="19"/>
                <w:szCs w:val="19"/>
                <w:lang w:val="en-US" w:eastAsia="zh-CN" w:bidi="ar-SA"/>
              </w:rPr>
              <w:t>收到发票后</w:t>
            </w:r>
            <w:r>
              <w:rPr>
                <w:rFonts w:hint="eastAsia" w:ascii="宋体" w:hAnsi="宋体" w:eastAsia="宋体" w:cs="宋体"/>
                <w:spacing w:val="-1"/>
                <w:kern w:val="2"/>
                <w:sz w:val="19"/>
                <w:szCs w:val="19"/>
                <w:lang w:val="en-US" w:eastAsia="zh-CN" w:bidi="ar-SA"/>
              </w:rPr>
              <w:t xml:space="preserve"> 20 个工作日</w:t>
            </w:r>
            <w:r>
              <w:rPr>
                <w:rFonts w:ascii="宋体" w:hAnsi="宋体" w:eastAsia="宋体" w:cs="宋体"/>
                <w:spacing w:val="-1"/>
                <w:kern w:val="2"/>
                <w:sz w:val="19"/>
                <w:szCs w:val="19"/>
                <w:lang w:val="en-US" w:eastAsia="zh-CN" w:bidi="ar-SA"/>
              </w:rPr>
              <w:t>内</w:t>
            </w:r>
            <w:r>
              <w:rPr>
                <w:rFonts w:hint="eastAsia" w:ascii="宋体" w:hAnsi="宋体" w:eastAsia="宋体" w:cs="宋体"/>
                <w:spacing w:val="-1"/>
                <w:kern w:val="2"/>
                <w:sz w:val="19"/>
                <w:szCs w:val="19"/>
                <w:lang w:val="en-US" w:eastAsia="zh-CN" w:bidi="ar-SA"/>
              </w:rPr>
              <w:t>办理</w:t>
            </w:r>
            <w:r>
              <w:rPr>
                <w:rFonts w:ascii="宋体" w:hAnsi="宋体" w:eastAsia="宋体" w:cs="宋体"/>
                <w:spacing w:val="-1"/>
                <w:kern w:val="2"/>
                <w:sz w:val="19"/>
                <w:szCs w:val="19"/>
                <w:lang w:val="en-US" w:eastAsia="zh-CN" w:bidi="ar-SA"/>
              </w:rPr>
              <w:t>支付手续。</w:t>
            </w:r>
            <w:r>
              <w:rPr>
                <w:rFonts w:hint="eastAsia" w:ascii="宋体" w:hAnsi="宋体" w:eastAsia="宋体" w:cs="宋体"/>
                <w:spacing w:val="-1"/>
                <w:kern w:val="2"/>
                <w:sz w:val="19"/>
                <w:szCs w:val="19"/>
                <w:lang w:val="en-US" w:eastAsia="zh-CN" w:bidi="ar-SA"/>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12B01CB2">
            <w:pPr>
              <w:widowControl/>
              <w:adjustRightInd w:val="0"/>
              <w:snapToGrid w:val="0"/>
              <w:spacing w:line="520" w:lineRule="exact"/>
              <w:jc w:val="left"/>
              <w:rPr>
                <w:rFonts w:ascii="宋体" w:hAnsi="宋体" w:eastAsia="宋体" w:cs="宋体"/>
                <w:spacing w:val="-1"/>
                <w:kern w:val="2"/>
                <w:sz w:val="19"/>
                <w:szCs w:val="19"/>
                <w:lang w:val="en-US" w:eastAsia="zh-CN" w:bidi="ar-SA"/>
              </w:rPr>
            </w:pPr>
            <w:r>
              <w:rPr>
                <w:rFonts w:hint="eastAsia" w:ascii="宋体" w:hAnsi="宋体" w:eastAsia="宋体" w:cs="宋体"/>
                <w:spacing w:val="-1"/>
                <w:kern w:val="2"/>
                <w:sz w:val="19"/>
                <w:szCs w:val="19"/>
                <w:lang w:val="en-US" w:eastAsia="zh-CN" w:bidi="ar-SA"/>
              </w:rPr>
              <w:t>5.履约保证金</w:t>
            </w:r>
          </w:p>
          <w:p w14:paraId="44B5AF0D">
            <w:pPr>
              <w:widowControl/>
              <w:adjustRightInd w:val="0"/>
              <w:snapToGrid w:val="0"/>
              <w:spacing w:line="520" w:lineRule="exact"/>
              <w:jc w:val="left"/>
              <w:rPr>
                <w:rFonts w:ascii="宋体" w:hAnsi="宋体" w:eastAsia="宋体" w:cs="宋体"/>
                <w:spacing w:val="-1"/>
                <w:kern w:val="2"/>
                <w:sz w:val="19"/>
                <w:szCs w:val="19"/>
                <w:lang w:val="en-US" w:eastAsia="zh-CN" w:bidi="ar-SA"/>
              </w:rPr>
            </w:pPr>
            <w:r>
              <w:rPr>
                <w:rFonts w:hint="eastAsia" w:ascii="宋体" w:hAnsi="宋体" w:eastAsia="宋体" w:cs="宋体"/>
                <w:spacing w:val="-1"/>
                <w:kern w:val="2"/>
                <w:sz w:val="19"/>
                <w:szCs w:val="19"/>
                <w:lang w:val="en-US" w:eastAsia="zh-CN" w:bidi="ar-SA"/>
              </w:rPr>
              <w:t>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30日内退还履约保证金（不计息）。</w:t>
            </w:r>
          </w:p>
          <w:p w14:paraId="4E1000AF">
            <w:pPr>
              <w:widowControl/>
              <w:spacing w:line="480" w:lineRule="auto"/>
              <w:rPr>
                <w:rFonts w:ascii="宋体" w:hAnsi="宋体" w:eastAsia="宋体" w:cs="宋体"/>
                <w:spacing w:val="-1"/>
                <w:kern w:val="2"/>
                <w:sz w:val="19"/>
                <w:szCs w:val="19"/>
                <w:lang w:val="en-US" w:eastAsia="zh-CN" w:bidi="ar-SA"/>
              </w:rPr>
            </w:pPr>
            <w:r>
              <w:rPr>
                <w:rFonts w:hint="eastAsia" w:ascii="宋体" w:hAnsi="宋体" w:eastAsia="宋体" w:cs="宋体"/>
                <w:spacing w:val="-1"/>
                <w:kern w:val="2"/>
                <w:sz w:val="19"/>
                <w:szCs w:val="19"/>
                <w:lang w:val="en-US" w:eastAsia="zh-CN" w:bidi="ar-SA"/>
              </w:rPr>
              <w:t>履约保证金账户：</w:t>
            </w:r>
          </w:p>
          <w:p w14:paraId="3C8C21A4">
            <w:pPr>
              <w:pStyle w:val="7"/>
              <w:spacing w:line="360" w:lineRule="auto"/>
              <w:rPr>
                <w:rFonts w:ascii="宋体" w:hAnsi="宋体" w:eastAsia="宋体" w:cs="宋体"/>
                <w:spacing w:val="-1"/>
                <w:kern w:val="2"/>
                <w:sz w:val="19"/>
                <w:szCs w:val="19"/>
                <w:lang w:val="en-US" w:eastAsia="zh-CN" w:bidi="ar-SA"/>
              </w:rPr>
            </w:pPr>
            <w:r>
              <w:rPr>
                <w:rFonts w:hint="eastAsia" w:ascii="宋体" w:hAnsi="宋体" w:eastAsia="宋体" w:cs="宋体"/>
                <w:spacing w:val="-1"/>
                <w:kern w:val="2"/>
                <w:sz w:val="19"/>
                <w:szCs w:val="19"/>
                <w:lang w:val="en-US" w:eastAsia="zh-CN" w:bidi="ar-SA"/>
              </w:rPr>
              <w:t>名  称：柳州职业技术大学</w:t>
            </w:r>
          </w:p>
          <w:p w14:paraId="6C7D74D1">
            <w:pPr>
              <w:pStyle w:val="7"/>
              <w:spacing w:line="360" w:lineRule="auto"/>
              <w:rPr>
                <w:rFonts w:ascii="宋体" w:hAnsi="宋体" w:eastAsia="宋体" w:cs="宋体"/>
                <w:spacing w:val="-1"/>
                <w:kern w:val="2"/>
                <w:sz w:val="19"/>
                <w:szCs w:val="19"/>
                <w:lang w:val="en-US" w:eastAsia="zh-CN" w:bidi="ar-SA"/>
              </w:rPr>
            </w:pPr>
            <w:r>
              <w:rPr>
                <w:rFonts w:hint="eastAsia" w:ascii="宋体" w:hAnsi="宋体" w:eastAsia="宋体" w:cs="宋体"/>
                <w:spacing w:val="-1"/>
                <w:kern w:val="2"/>
                <w:sz w:val="19"/>
                <w:szCs w:val="19"/>
                <w:lang w:val="en-US" w:eastAsia="zh-CN" w:bidi="ar-SA"/>
              </w:rPr>
              <w:t>开户行：交通银行西江支行</w:t>
            </w:r>
          </w:p>
          <w:p w14:paraId="004AEDFD">
            <w:pPr>
              <w:pStyle w:val="7"/>
              <w:spacing w:line="360" w:lineRule="auto"/>
              <w:rPr>
                <w:rFonts w:ascii="宋体" w:hAnsi="宋体" w:eastAsia="宋体" w:cs="宋体"/>
                <w:spacing w:val="-1"/>
                <w:kern w:val="2"/>
                <w:sz w:val="19"/>
                <w:szCs w:val="19"/>
                <w:lang w:val="en-US" w:eastAsia="zh-CN" w:bidi="ar-SA"/>
              </w:rPr>
            </w:pPr>
            <w:r>
              <w:rPr>
                <w:rFonts w:hint="eastAsia" w:ascii="宋体" w:hAnsi="宋体" w:eastAsia="宋体" w:cs="宋体"/>
                <w:spacing w:val="-1"/>
                <w:kern w:val="2"/>
                <w:sz w:val="19"/>
                <w:szCs w:val="19"/>
                <w:lang w:val="en-US" w:eastAsia="zh-CN" w:bidi="ar-SA"/>
              </w:rPr>
              <w:t>账  号：</w:t>
            </w:r>
            <w:r>
              <w:rPr>
                <w:rFonts w:ascii="宋体" w:hAnsi="宋体" w:eastAsia="宋体" w:cs="宋体"/>
                <w:spacing w:val="-1"/>
                <w:kern w:val="2"/>
                <w:sz w:val="19"/>
                <w:szCs w:val="19"/>
                <w:lang w:val="en-US" w:eastAsia="zh-CN" w:bidi="ar-SA"/>
              </w:rPr>
              <w:t>452060600018120020185</w:t>
            </w:r>
          </w:p>
          <w:p w14:paraId="4D1CFAFF">
            <w:pPr>
              <w:pStyle w:val="7"/>
              <w:spacing w:line="360" w:lineRule="auto"/>
              <w:rPr>
                <w:rFonts w:ascii="宋体" w:hAnsi="宋体" w:eastAsia="宋体" w:cs="宋体"/>
                <w:spacing w:val="-1"/>
                <w:kern w:val="2"/>
                <w:sz w:val="19"/>
                <w:szCs w:val="19"/>
                <w:lang w:val="en-US" w:eastAsia="zh-CN" w:bidi="ar-SA"/>
              </w:rPr>
            </w:pPr>
            <w:r>
              <w:rPr>
                <w:rFonts w:hint="eastAsia" w:ascii="宋体" w:hAnsi="宋体" w:eastAsia="宋体" w:cs="宋体"/>
                <w:spacing w:val="-1"/>
                <w:kern w:val="2"/>
                <w:sz w:val="19"/>
                <w:szCs w:val="19"/>
                <w:lang w:val="en-US" w:eastAsia="zh-CN" w:bidi="ar-SA"/>
              </w:rPr>
              <w:t>转账时注明：荧光分光光度计采购项目，采购编号LZPU2026-14 履约保证金电汇、转账的持银行回执复印件（非电汇、转账的出具其他保证金递交证明文件）、中标（成交）通知书（确认书）及合同到柳州职业技术大学签署合同。</w:t>
            </w:r>
          </w:p>
          <w:p w14:paraId="4755C1A9">
            <w:pPr>
              <w:pStyle w:val="7"/>
              <w:rPr>
                <w:rFonts w:ascii="宋体" w:hAnsi="宋体" w:eastAsia="宋体" w:cs="宋体"/>
                <w:spacing w:val="-1"/>
                <w:kern w:val="2"/>
                <w:sz w:val="19"/>
                <w:szCs w:val="19"/>
                <w:lang w:val="en-US" w:eastAsia="zh-CN" w:bidi="ar-SA"/>
              </w:rPr>
            </w:pPr>
            <w:r>
              <w:rPr>
                <w:rFonts w:hint="eastAsia" w:ascii="宋体" w:hAnsi="宋体" w:eastAsia="宋体" w:cs="宋体"/>
                <w:spacing w:val="-1"/>
                <w:kern w:val="2"/>
                <w:sz w:val="19"/>
                <w:szCs w:val="19"/>
                <w:lang w:val="en-US" w:eastAsia="zh-CN" w:bidi="ar-SA"/>
              </w:rPr>
              <w:t>6.验收要求</w:t>
            </w:r>
          </w:p>
          <w:p w14:paraId="1EB552EA">
            <w:pPr>
              <w:pStyle w:val="7"/>
              <w:rPr>
                <w:rFonts w:ascii="宋体" w:hAnsi="宋体" w:eastAsia="宋体" w:cs="宋体"/>
                <w:spacing w:val="-1"/>
                <w:kern w:val="2"/>
                <w:sz w:val="19"/>
                <w:szCs w:val="19"/>
                <w:lang w:val="en-US" w:eastAsia="zh-CN" w:bidi="ar-SA"/>
              </w:rPr>
            </w:pPr>
            <w:r>
              <w:rPr>
                <w:rFonts w:hint="eastAsia" w:ascii="宋体" w:hAnsi="宋体" w:eastAsia="宋体" w:cs="宋体"/>
                <w:spacing w:val="-1"/>
                <w:kern w:val="2"/>
                <w:sz w:val="19"/>
                <w:szCs w:val="19"/>
                <w:lang w:val="en-US" w:eastAsia="zh-CN" w:bidi="ar-SA"/>
              </w:rPr>
              <w:t>（1）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14:paraId="7951A454">
            <w:pPr>
              <w:pStyle w:val="7"/>
              <w:rPr>
                <w:rFonts w:ascii="宋体" w:hAnsi="宋体" w:eastAsia="宋体" w:cs="宋体"/>
                <w:spacing w:val="-1"/>
                <w:kern w:val="2"/>
                <w:sz w:val="19"/>
                <w:szCs w:val="19"/>
                <w:lang w:val="en-US" w:eastAsia="zh-CN" w:bidi="ar-SA"/>
              </w:rPr>
            </w:pPr>
            <w:r>
              <w:rPr>
                <w:rFonts w:hint="eastAsia" w:ascii="宋体" w:hAnsi="宋体" w:eastAsia="宋体" w:cs="宋体"/>
                <w:spacing w:val="-1"/>
                <w:kern w:val="2"/>
                <w:sz w:val="19"/>
                <w:szCs w:val="19"/>
                <w:lang w:val="en-US" w:eastAsia="zh-CN" w:bidi="ar-SA"/>
              </w:rPr>
              <w:t>（2）中标报价人须确保货物为原制造商制造（或原厂组装）的全新产品，，无侵权行为、表面无划损、无任何缺陷隐患，在中国境内可依常规安全合法使用。</w:t>
            </w:r>
          </w:p>
          <w:p w14:paraId="63C68996">
            <w:pPr>
              <w:pStyle w:val="7"/>
              <w:rPr>
                <w:rFonts w:ascii="宋体" w:hAnsi="宋体" w:eastAsia="宋体" w:cs="宋体"/>
                <w:spacing w:val="-1"/>
                <w:kern w:val="2"/>
                <w:sz w:val="19"/>
                <w:szCs w:val="19"/>
                <w:lang w:val="en-US" w:eastAsia="zh-CN" w:bidi="ar-SA"/>
              </w:rPr>
            </w:pPr>
            <w:r>
              <w:rPr>
                <w:rFonts w:hint="eastAsia" w:ascii="宋体" w:hAnsi="宋体" w:eastAsia="宋体" w:cs="宋体"/>
                <w:spacing w:val="-1"/>
                <w:kern w:val="2"/>
                <w:sz w:val="19"/>
                <w:szCs w:val="19"/>
                <w:lang w:val="en-US" w:eastAsia="zh-CN" w:bidi="ar-SA"/>
              </w:rPr>
              <w:t>（3）供货时中标报价人应将关键货物的用户手册、保修手册、有关单证资料及配备件等交付给采购人，使用操作及安全须知等重要资料应附有中文说明。</w:t>
            </w:r>
          </w:p>
          <w:p w14:paraId="21EFAA81">
            <w:pPr>
              <w:pStyle w:val="7"/>
              <w:rPr>
                <w:rFonts w:ascii="宋体" w:hAnsi="宋体" w:eastAsia="宋体" w:cs="宋体"/>
                <w:spacing w:val="-1"/>
                <w:kern w:val="2"/>
                <w:sz w:val="19"/>
                <w:szCs w:val="19"/>
                <w:lang w:val="en-US" w:eastAsia="zh-CN" w:bidi="ar-SA"/>
              </w:rPr>
            </w:pPr>
            <w:r>
              <w:rPr>
                <w:rFonts w:hint="eastAsia" w:ascii="宋体" w:hAnsi="宋体" w:eastAsia="宋体" w:cs="宋体"/>
                <w:spacing w:val="-1"/>
                <w:kern w:val="2"/>
                <w:sz w:val="19"/>
                <w:szCs w:val="19"/>
                <w:lang w:val="en-US" w:eastAsia="zh-CN" w:bidi="ar-SA"/>
              </w:rPr>
              <w:t>（4）采购人组成验收小组按国家有关规定、规范进行验收，必要时邀请相关的专业人员或机构参与验收。验收时报价人必须有授权代表在场并在验收报告上签字，如正式验收时报价人授权代表未到场参加验收则视为报价人对验收过程及结果无异议。因货物质量问题发生争议时，由本地质量技术监督部门鉴定或委托具备资质的第三方机构鉴定。鉴定费（含运行产生全部费用）由中标报价人承担。</w:t>
            </w:r>
          </w:p>
          <w:p w14:paraId="63FEE9FC">
            <w:pPr>
              <w:pStyle w:val="7"/>
              <w:rPr>
                <w:rFonts w:ascii="宋体" w:hAnsi="宋体" w:eastAsia="宋体" w:cs="宋体"/>
                <w:spacing w:val="-1"/>
                <w:kern w:val="2"/>
                <w:sz w:val="19"/>
                <w:szCs w:val="19"/>
                <w:lang w:val="en-US" w:eastAsia="zh-CN" w:bidi="ar-SA"/>
              </w:rPr>
            </w:pPr>
            <w:r>
              <w:rPr>
                <w:rFonts w:hint="eastAsia" w:ascii="宋体" w:hAnsi="宋体" w:eastAsia="宋体" w:cs="宋体"/>
                <w:spacing w:val="-1"/>
                <w:kern w:val="2"/>
                <w:sz w:val="19"/>
                <w:szCs w:val="19"/>
                <w:lang w:val="en-US" w:eastAsia="zh-CN" w:bidi="ar-SA"/>
              </w:rPr>
              <w:t>（5）中标报价人必须依照采购文件的要求和应标文件的承诺，将设备、系统安装并调试至正常运行的最佳状态，并完成采购人的人员培训方可申请采购人正式验收。</w:t>
            </w:r>
          </w:p>
          <w:p w14:paraId="0B8B358F">
            <w:pPr>
              <w:pStyle w:val="7"/>
              <w:rPr>
                <w:rFonts w:ascii="宋体" w:hAnsi="宋体" w:eastAsia="宋体" w:cs="宋体"/>
                <w:spacing w:val="-1"/>
                <w:kern w:val="2"/>
                <w:sz w:val="19"/>
                <w:szCs w:val="19"/>
                <w:lang w:val="en-US" w:eastAsia="zh-CN" w:bidi="ar-SA"/>
              </w:rPr>
            </w:pPr>
            <w:r>
              <w:rPr>
                <w:rFonts w:hint="eastAsia" w:ascii="宋体" w:hAnsi="宋体" w:eastAsia="宋体" w:cs="宋体"/>
                <w:spacing w:val="-1"/>
                <w:kern w:val="2"/>
                <w:sz w:val="19"/>
                <w:szCs w:val="19"/>
                <w:lang w:val="en-US" w:eastAsia="zh-CN" w:bidi="ar-SA"/>
              </w:rPr>
              <w:t>（6）采购人有权委托第三方进行履约验收，履约验收费用（含运行耗材、验收专家费等全部费用）由中标报价人支付。报价人在报价时自行考虑。</w:t>
            </w:r>
          </w:p>
          <w:p w14:paraId="30E0F112">
            <w:pPr>
              <w:snapToGrid w:val="0"/>
              <w:spacing w:line="276" w:lineRule="auto"/>
              <w:rPr>
                <w:rFonts w:ascii="宋体" w:hAnsi="宋体" w:eastAsia="宋体" w:cs="宋体"/>
                <w:spacing w:val="-1"/>
                <w:kern w:val="2"/>
                <w:sz w:val="19"/>
                <w:szCs w:val="19"/>
                <w:lang w:val="en-US" w:eastAsia="zh-CN" w:bidi="ar-SA"/>
              </w:rPr>
            </w:pPr>
            <w:r>
              <w:rPr>
                <w:rFonts w:hint="eastAsia" w:ascii="宋体" w:hAnsi="宋体" w:eastAsia="宋体" w:cs="宋体"/>
                <w:spacing w:val="-1"/>
                <w:kern w:val="2"/>
                <w:sz w:val="19"/>
                <w:szCs w:val="19"/>
                <w:lang w:val="en-US" w:eastAsia="zh-CN" w:bidi="ar-SA"/>
              </w:rPr>
              <w:t>（7）中标报价人</w:t>
            </w:r>
            <w:r>
              <w:rPr>
                <w:rFonts w:ascii="宋体" w:hAnsi="宋体" w:eastAsia="宋体" w:cs="宋体"/>
                <w:spacing w:val="-1"/>
                <w:kern w:val="2"/>
                <w:sz w:val="19"/>
                <w:szCs w:val="19"/>
                <w:lang w:val="en-US" w:eastAsia="zh-CN" w:bidi="ar-SA"/>
              </w:rPr>
              <w:t>完成安装调试后，采购人可以进行累计运行时间不超过72小时的试运行，以确认所供货物（含硬件、软件及服务）功能参数、兼容性及稳定性符合标准达到初验条件，在试运行期间出现问题</w:t>
            </w:r>
            <w:r>
              <w:rPr>
                <w:rFonts w:hint="eastAsia" w:ascii="宋体" w:hAnsi="宋体" w:eastAsia="宋体" w:cs="宋体"/>
                <w:spacing w:val="-1"/>
                <w:kern w:val="2"/>
                <w:sz w:val="19"/>
                <w:szCs w:val="19"/>
                <w:lang w:val="en-US" w:eastAsia="zh-CN" w:bidi="ar-SA"/>
              </w:rPr>
              <w:t>中标报价人</w:t>
            </w:r>
            <w:r>
              <w:rPr>
                <w:rFonts w:ascii="宋体" w:hAnsi="宋体" w:eastAsia="宋体" w:cs="宋体"/>
                <w:spacing w:val="-1"/>
                <w:kern w:val="2"/>
                <w:sz w:val="19"/>
                <w:szCs w:val="19"/>
                <w:lang w:val="en-US" w:eastAsia="zh-CN" w:bidi="ar-SA"/>
              </w:rPr>
              <w:t>应在接到采购人书面反馈后三日内解决，在解决问题前此项目仍视为尚未完成安装调试。如造成最终验收合格交付时间超过合同约定的按合同相关条款执行。</w:t>
            </w:r>
          </w:p>
          <w:p w14:paraId="26F5FA30">
            <w:pPr>
              <w:widowControl/>
              <w:jc w:val="left"/>
              <w:rPr>
                <w:rFonts w:ascii="宋体" w:hAnsi="宋体" w:eastAsia="宋体" w:cs="宋体"/>
                <w:spacing w:val="-1"/>
                <w:kern w:val="2"/>
                <w:sz w:val="19"/>
                <w:szCs w:val="19"/>
                <w:lang w:val="en-US" w:eastAsia="zh-CN" w:bidi="ar-SA"/>
              </w:rPr>
            </w:pPr>
            <w:r>
              <w:rPr>
                <w:rFonts w:hint="eastAsia" w:ascii="宋体" w:hAnsi="宋体" w:eastAsia="宋体" w:cs="宋体"/>
                <w:spacing w:val="-1"/>
                <w:kern w:val="2"/>
                <w:sz w:val="19"/>
                <w:szCs w:val="19"/>
                <w:lang w:val="en-US" w:eastAsia="zh-CN" w:bidi="ar-SA"/>
              </w:rPr>
              <w:t>如果验收时中标报价人所提供设备达不到采购项目的技术需求，在整改期限20日内中标报价人仍无法提供满足项目技术要求的设备，采购人可以终止项目，中标报价人须承担相应违约责任。</w:t>
            </w:r>
          </w:p>
        </w:tc>
      </w:tr>
    </w:tbl>
    <w:p w14:paraId="521D3291">
      <w:pPr>
        <w:widowControl/>
        <w:adjustRightInd w:val="0"/>
        <w:snapToGrid w:val="0"/>
        <w:spacing w:line="520" w:lineRule="exact"/>
        <w:jc w:val="left"/>
        <w:rPr>
          <w:rFonts w:asciiTheme="majorEastAsia" w:hAnsiTheme="majorEastAsia" w:eastAsiaTheme="majorEastAsia" w:cstheme="majorEastAsia"/>
          <w:color w:val="000000"/>
          <w:kern w:val="0"/>
          <w:sz w:val="24"/>
          <w:szCs w:val="28"/>
        </w:rPr>
      </w:pPr>
      <w:r>
        <w:rPr>
          <w:rFonts w:hint="eastAsia" w:ascii="宋体" w:hAnsi="宋体" w:eastAsia="宋体" w:cs="宋体"/>
          <w:spacing w:val="-1"/>
          <w:kern w:val="2"/>
          <w:sz w:val="19"/>
          <w:szCs w:val="19"/>
          <w:lang w:val="en-US" w:eastAsia="zh-CN" w:bidi="ar-SA"/>
        </w:rPr>
        <w:t>四、报价人须知：（以下要求报价供应商必须满足否则视为无效）</w:t>
      </w:r>
    </w:p>
    <w:p w14:paraId="09F0FED6">
      <w:pPr>
        <w:widowControl/>
        <w:adjustRightInd w:val="0"/>
        <w:snapToGrid w:val="0"/>
        <w:spacing w:line="520" w:lineRule="exact"/>
        <w:jc w:val="left"/>
        <w:rPr>
          <w:rFonts w:asciiTheme="majorEastAsia" w:hAnsiTheme="majorEastAsia" w:eastAsiaTheme="majorEastAsia" w:cstheme="majorEastAsia"/>
          <w:b/>
          <w:sz w:val="18"/>
          <w:szCs w:val="18"/>
        </w:rPr>
      </w:pPr>
      <w:r>
        <w:rPr>
          <w:rFonts w:hint="eastAsia" w:asciiTheme="majorEastAsia" w:hAnsiTheme="majorEastAsia" w:eastAsiaTheme="majorEastAsia" w:cstheme="majorEastAsia"/>
          <w:kern w:val="0"/>
          <w:sz w:val="18"/>
          <w:szCs w:val="18"/>
        </w:rPr>
        <w:t>1.</w:t>
      </w:r>
      <w:r>
        <w:rPr>
          <w:rFonts w:hint="eastAsia" w:asciiTheme="majorEastAsia" w:hAnsiTheme="majorEastAsia" w:eastAsiaTheme="majorEastAsia" w:cstheme="majorEastAsia"/>
          <w:sz w:val="18"/>
          <w:szCs w:val="18"/>
        </w:rPr>
        <w:t xml:space="preserve"> </w:t>
      </w:r>
      <w:r>
        <w:rPr>
          <w:rFonts w:hint="eastAsia" w:asciiTheme="majorEastAsia" w:hAnsiTheme="majorEastAsia" w:eastAsiaTheme="majorEastAsia" w:cstheme="majorEastAsia"/>
          <w:b/>
          <w:sz w:val="18"/>
          <w:szCs w:val="18"/>
        </w:rPr>
        <w:t>资格证明文件</w:t>
      </w:r>
    </w:p>
    <w:p w14:paraId="7CB6D7B6">
      <w:pPr>
        <w:widowControl/>
        <w:adjustRightInd w:val="0"/>
        <w:snapToGrid w:val="0"/>
        <w:spacing w:line="520" w:lineRule="exact"/>
        <w:jc w:val="left"/>
        <w:rPr>
          <w:rFonts w:asciiTheme="majorEastAsia" w:hAnsiTheme="majorEastAsia" w:eastAsiaTheme="majorEastAsia" w:cstheme="majorEastAsia"/>
          <w:sz w:val="18"/>
          <w:szCs w:val="18"/>
        </w:rPr>
      </w:pPr>
      <w:r>
        <w:rPr>
          <w:rFonts w:hint="eastAsia" w:asciiTheme="majorEastAsia" w:hAnsiTheme="majorEastAsia" w:eastAsiaTheme="majorEastAsia" w:cstheme="majorEastAsia"/>
          <w:kern w:val="0"/>
          <w:sz w:val="18"/>
          <w:szCs w:val="18"/>
        </w:rPr>
        <w:t>（1）国内注册（指按国家工商管理有关规定要求注册的），具有合法的主体资格证明复印件（如营业执照、事业单位法人证书、个体工商户营业执照）的报价人；</w:t>
      </w:r>
      <w:r>
        <w:rPr>
          <w:rFonts w:hint="eastAsia" w:asciiTheme="majorEastAsia" w:hAnsiTheme="majorEastAsia" w:eastAsiaTheme="majorEastAsia" w:cstheme="majorEastAsia"/>
          <w:sz w:val="18"/>
          <w:szCs w:val="18"/>
        </w:rPr>
        <w:t>（</w:t>
      </w:r>
      <w:r>
        <w:rPr>
          <w:rFonts w:hint="eastAsia" w:asciiTheme="majorEastAsia" w:hAnsiTheme="majorEastAsia" w:eastAsiaTheme="majorEastAsia" w:cstheme="majorEastAsia"/>
          <w:b/>
          <w:sz w:val="18"/>
          <w:szCs w:val="18"/>
        </w:rPr>
        <w:t>必须提供，否则响应文件按无效响应处理</w:t>
      </w:r>
      <w:r>
        <w:rPr>
          <w:rFonts w:hint="eastAsia" w:asciiTheme="majorEastAsia" w:hAnsiTheme="majorEastAsia" w:eastAsiaTheme="majorEastAsia" w:cstheme="majorEastAsia"/>
          <w:sz w:val="18"/>
          <w:szCs w:val="18"/>
        </w:rPr>
        <w:t>）</w:t>
      </w:r>
    </w:p>
    <w:p w14:paraId="583DDA09">
      <w:pPr>
        <w:widowControl/>
        <w:adjustRightInd w:val="0"/>
        <w:snapToGrid w:val="0"/>
        <w:spacing w:line="520" w:lineRule="exact"/>
        <w:jc w:val="left"/>
        <w:rPr>
          <w:rFonts w:asciiTheme="majorEastAsia" w:hAnsiTheme="majorEastAsia" w:eastAsiaTheme="majorEastAsia" w:cstheme="majorEastAsia"/>
          <w:kern w:val="0"/>
          <w:sz w:val="18"/>
          <w:szCs w:val="18"/>
        </w:rPr>
      </w:pPr>
      <w:r>
        <w:rPr>
          <w:rFonts w:hint="eastAsia" w:asciiTheme="majorEastAsia" w:hAnsiTheme="majorEastAsia" w:eastAsiaTheme="majorEastAsia" w:cstheme="majorEastAsia"/>
          <w:sz w:val="18"/>
          <w:szCs w:val="18"/>
        </w:rPr>
        <w:t>（2）报价声明（格式后附）；（</w:t>
      </w:r>
      <w:r>
        <w:rPr>
          <w:rFonts w:hint="eastAsia" w:asciiTheme="majorEastAsia" w:hAnsiTheme="majorEastAsia" w:eastAsiaTheme="majorEastAsia" w:cstheme="majorEastAsia"/>
          <w:b/>
          <w:sz w:val="18"/>
          <w:szCs w:val="18"/>
        </w:rPr>
        <w:t>必须提供，否则响应文件按无效响应处理</w:t>
      </w:r>
      <w:r>
        <w:rPr>
          <w:rFonts w:hint="eastAsia" w:asciiTheme="majorEastAsia" w:hAnsiTheme="majorEastAsia" w:eastAsiaTheme="majorEastAsia" w:cstheme="majorEastAsia"/>
          <w:sz w:val="18"/>
          <w:szCs w:val="18"/>
        </w:rPr>
        <w:t>）</w:t>
      </w:r>
    </w:p>
    <w:p w14:paraId="65573B48">
      <w:pPr>
        <w:rPr>
          <w:rFonts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注：</w:t>
      </w:r>
    </w:p>
    <w:p w14:paraId="308189F8">
      <w:pPr>
        <w:rPr>
          <w:rFonts w:asciiTheme="majorEastAsia" w:hAnsiTheme="majorEastAsia" w:eastAsiaTheme="majorEastAsia" w:cstheme="majorEastAsia"/>
          <w:b/>
          <w:sz w:val="18"/>
          <w:szCs w:val="18"/>
        </w:rPr>
      </w:pPr>
      <w:r>
        <w:rPr>
          <w:rFonts w:hint="eastAsia" w:asciiTheme="majorEastAsia" w:hAnsiTheme="majorEastAsia" w:eastAsiaTheme="majorEastAsia" w:cstheme="majorEastAsia"/>
          <w:b/>
          <w:sz w:val="18"/>
          <w:szCs w:val="18"/>
        </w:rPr>
        <w:t>1.以上标明“必须提供”的材料属于复印件的，必须加盖报价人公章，否则报价文件按无效响应处理。</w:t>
      </w:r>
    </w:p>
    <w:p w14:paraId="2EA606DC">
      <w:pPr>
        <w:rPr>
          <w:rFonts w:asciiTheme="majorEastAsia" w:hAnsiTheme="majorEastAsia" w:eastAsiaTheme="majorEastAsia" w:cstheme="majorEastAsia"/>
          <w:kern w:val="0"/>
          <w:sz w:val="18"/>
          <w:szCs w:val="18"/>
        </w:rPr>
      </w:pPr>
      <w:r>
        <w:rPr>
          <w:rFonts w:hint="eastAsia" w:asciiTheme="majorEastAsia" w:hAnsiTheme="majorEastAsia" w:eastAsiaTheme="majorEastAsia" w:cstheme="majorEastAsia"/>
          <w:b/>
          <w:sz w:val="18"/>
          <w:szCs w:val="18"/>
        </w:rPr>
        <w:t>2.报价人的报价声明必须由法定代表人或委托代理人在规定签章处签字并加盖报价人公章，否则响应文件按无效响应处理。</w:t>
      </w:r>
    </w:p>
    <w:p w14:paraId="1EC3DBD6">
      <w:pPr>
        <w:widowControl/>
        <w:adjustRightInd w:val="0"/>
        <w:snapToGrid w:val="0"/>
        <w:spacing w:line="52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kern w:val="0"/>
          <w:sz w:val="18"/>
          <w:szCs w:val="18"/>
        </w:rPr>
        <w:t>（3）</w:t>
      </w:r>
      <w:r>
        <w:rPr>
          <w:rFonts w:hint="eastAsia" w:asciiTheme="majorEastAsia" w:hAnsiTheme="majorEastAsia" w:eastAsiaTheme="majorEastAsia" w:cstheme="majorEastAsia"/>
          <w:b/>
          <w:kern w:val="0"/>
          <w:sz w:val="18"/>
          <w:szCs w:val="18"/>
        </w:rPr>
        <w:t xml:space="preserve">符合以下规定的条件： </w:t>
      </w:r>
    </w:p>
    <w:p w14:paraId="1BD5631C">
      <w:pPr>
        <w:widowControl/>
        <w:numPr>
          <w:ilvl w:val="0"/>
          <w:numId w:val="2"/>
        </w:numPr>
        <w:adjustRightInd w:val="0"/>
        <w:snapToGrid w:val="0"/>
        <w:spacing w:line="52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 xml:space="preserve">具有独立承担民事责任的能力； </w:t>
      </w:r>
    </w:p>
    <w:p w14:paraId="62E27C7E">
      <w:pPr>
        <w:widowControl/>
        <w:numPr>
          <w:ilvl w:val="0"/>
          <w:numId w:val="2"/>
        </w:numPr>
        <w:adjustRightInd w:val="0"/>
        <w:snapToGrid w:val="0"/>
        <w:spacing w:line="52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 xml:space="preserve">具有良好的商业信誉和健全的财务会计制度； </w:t>
      </w:r>
    </w:p>
    <w:p w14:paraId="35CBC04E">
      <w:pPr>
        <w:widowControl/>
        <w:numPr>
          <w:ilvl w:val="0"/>
          <w:numId w:val="2"/>
        </w:numPr>
        <w:adjustRightInd w:val="0"/>
        <w:snapToGrid w:val="0"/>
        <w:spacing w:line="52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 xml:space="preserve">具有履行合同所必需的设备和专业技术能力； </w:t>
      </w:r>
    </w:p>
    <w:p w14:paraId="320CA08C">
      <w:pPr>
        <w:widowControl/>
        <w:numPr>
          <w:ilvl w:val="0"/>
          <w:numId w:val="2"/>
        </w:numPr>
        <w:adjustRightInd w:val="0"/>
        <w:snapToGrid w:val="0"/>
        <w:spacing w:line="52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 xml:space="preserve">有依法缴纳税收和社会保障资金的良好记录； </w:t>
      </w:r>
    </w:p>
    <w:p w14:paraId="6677FB72">
      <w:pPr>
        <w:widowControl/>
        <w:numPr>
          <w:ilvl w:val="0"/>
          <w:numId w:val="2"/>
        </w:numPr>
        <w:adjustRightInd w:val="0"/>
        <w:snapToGrid w:val="0"/>
        <w:spacing w:line="52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 xml:space="preserve">参加政府采购活动前三年内，在经营活动中没有重大违法记录； </w:t>
      </w:r>
    </w:p>
    <w:p w14:paraId="529AA131">
      <w:pPr>
        <w:widowControl/>
        <w:numPr>
          <w:ilvl w:val="0"/>
          <w:numId w:val="2"/>
        </w:numPr>
        <w:adjustRightInd w:val="0"/>
        <w:snapToGrid w:val="0"/>
        <w:spacing w:line="52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未被列入失信被执行人、重大税收违法失信主体、政府采购严重违法失信行为记录名单；</w:t>
      </w:r>
    </w:p>
    <w:p w14:paraId="5AD11627">
      <w:pPr>
        <w:pStyle w:val="7"/>
        <w:numPr>
          <w:ilvl w:val="0"/>
          <w:numId w:val="2"/>
        </w:numPr>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法律、行政法规规定的其他条件。</w:t>
      </w:r>
    </w:p>
    <w:p w14:paraId="57F7BD3F">
      <w:pPr>
        <w:widowControl/>
        <w:adjustRightInd w:val="0"/>
        <w:snapToGrid w:val="0"/>
        <w:spacing w:line="520" w:lineRule="exact"/>
        <w:jc w:val="left"/>
        <w:rPr>
          <w:rFonts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2.单位负责人为同一人或者存在控股、管理关系的不同供应商，不得参加同一合同项下的采购活动。</w:t>
      </w:r>
    </w:p>
    <w:p w14:paraId="29861CCC">
      <w:pPr>
        <w:widowControl/>
        <w:adjustRightInd w:val="0"/>
        <w:snapToGrid w:val="0"/>
        <w:spacing w:line="520" w:lineRule="exact"/>
        <w:jc w:val="left"/>
        <w:rPr>
          <w:rFonts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3.报价为最终报价，须包含货物及货物运抵指定交货地点的运输、装卸费用、售后服务、税金、验收检验及其它所有费用的总和。报</w:t>
      </w:r>
      <w:r>
        <w:rPr>
          <w:rFonts w:hint="eastAsia" w:asciiTheme="majorEastAsia" w:hAnsiTheme="majorEastAsia" w:eastAsiaTheme="majorEastAsia" w:cstheme="majorEastAsia"/>
          <w:b/>
          <w:bCs/>
          <w:kern w:val="0"/>
          <w:sz w:val="18"/>
          <w:szCs w:val="18"/>
        </w:rPr>
        <w:t>价超出采购预算金额的文件将被视为无效。</w:t>
      </w:r>
    </w:p>
    <w:p w14:paraId="0105B1C4">
      <w:pPr>
        <w:spacing w:line="360" w:lineRule="auto"/>
        <w:rPr>
          <w:rFonts w:asciiTheme="majorEastAsia" w:hAnsiTheme="majorEastAsia" w:eastAsiaTheme="majorEastAsia" w:cstheme="majorEastAsia"/>
          <w:sz w:val="18"/>
          <w:szCs w:val="18"/>
        </w:rPr>
      </w:pPr>
      <w:r>
        <w:rPr>
          <w:rFonts w:hint="eastAsia" w:asciiTheme="majorEastAsia" w:hAnsiTheme="majorEastAsia" w:eastAsiaTheme="majorEastAsia" w:cstheme="majorEastAsia"/>
          <w:kern w:val="0"/>
          <w:sz w:val="18"/>
          <w:szCs w:val="18"/>
        </w:rPr>
        <w:t>4.报价文件</w:t>
      </w:r>
      <w:r>
        <w:rPr>
          <w:rFonts w:hint="eastAsia" w:asciiTheme="majorEastAsia" w:hAnsiTheme="majorEastAsia" w:eastAsiaTheme="majorEastAsia" w:cstheme="majorEastAsia"/>
          <w:sz w:val="18"/>
          <w:szCs w:val="18"/>
        </w:rPr>
        <w:t>由资格证明文件、报价商务技术文件两部分组成，详见</w:t>
      </w:r>
      <w:r>
        <w:rPr>
          <w:rFonts w:hint="eastAsia" w:asciiTheme="majorEastAsia" w:hAnsiTheme="majorEastAsia" w:eastAsiaTheme="majorEastAsia" w:cstheme="majorEastAsia"/>
          <w:b/>
          <w:sz w:val="18"/>
          <w:szCs w:val="18"/>
        </w:rPr>
        <w:t>报价文件格式</w:t>
      </w:r>
      <w:r>
        <w:rPr>
          <w:rFonts w:hint="eastAsia" w:asciiTheme="majorEastAsia" w:hAnsiTheme="majorEastAsia" w:eastAsiaTheme="majorEastAsia" w:cstheme="majorEastAsia"/>
          <w:sz w:val="18"/>
          <w:szCs w:val="18"/>
        </w:rPr>
        <w:t>。</w:t>
      </w:r>
      <w:r>
        <w:rPr>
          <w:rFonts w:hint="eastAsia" w:asciiTheme="majorEastAsia" w:hAnsiTheme="majorEastAsia" w:eastAsiaTheme="majorEastAsia" w:cstheme="majorEastAsia"/>
          <w:kern w:val="0"/>
          <w:sz w:val="18"/>
          <w:szCs w:val="18"/>
        </w:rPr>
        <w:t>包括但不限于本报价函（加盖报价商公章），报价人工商营业执照复印件、法定代表人身份证复印件、委托代理人身份证复印件（委托代理时提供）、法定代表人授权委托书（委托代理时提供）。</w:t>
      </w:r>
    </w:p>
    <w:p w14:paraId="4E9775CC">
      <w:pPr>
        <w:widowControl/>
        <w:adjustRightInd w:val="0"/>
        <w:snapToGrid w:val="0"/>
        <w:spacing w:line="520" w:lineRule="exact"/>
        <w:jc w:val="left"/>
        <w:rPr>
          <w:rFonts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5.报价文件递交</w:t>
      </w:r>
    </w:p>
    <w:p w14:paraId="1749A1C6">
      <w:pPr>
        <w:spacing w:line="360" w:lineRule="auto"/>
        <w:rPr>
          <w:rFonts w:asciiTheme="majorEastAsia" w:hAnsiTheme="majorEastAsia" w:eastAsiaTheme="majorEastAsia" w:cstheme="majorEastAsia"/>
          <w:b/>
          <w:bCs/>
          <w:sz w:val="18"/>
          <w:szCs w:val="18"/>
        </w:rPr>
      </w:pPr>
      <w:r>
        <w:rPr>
          <w:rFonts w:hint="eastAsia" w:asciiTheme="majorEastAsia" w:hAnsiTheme="majorEastAsia" w:eastAsiaTheme="majorEastAsia" w:cstheme="majorEastAsia"/>
          <w:sz w:val="18"/>
          <w:szCs w:val="18"/>
        </w:rPr>
        <w:t>（1）报价文件份数：</w:t>
      </w:r>
      <w:r>
        <w:rPr>
          <w:rFonts w:hint="eastAsia" w:asciiTheme="majorEastAsia" w:hAnsiTheme="majorEastAsia" w:eastAsiaTheme="majorEastAsia" w:cstheme="majorEastAsia"/>
          <w:kern w:val="0"/>
          <w:sz w:val="18"/>
          <w:szCs w:val="18"/>
        </w:rPr>
        <w:t>报价文件一式三份，</w:t>
      </w:r>
      <w:r>
        <w:rPr>
          <w:rFonts w:hint="eastAsia" w:asciiTheme="majorEastAsia" w:hAnsiTheme="majorEastAsia" w:eastAsiaTheme="majorEastAsia" w:cstheme="majorEastAsia"/>
          <w:b/>
          <w:bCs/>
          <w:sz w:val="18"/>
          <w:szCs w:val="18"/>
        </w:rPr>
        <w:t>正本一份、副本二份</w:t>
      </w:r>
    </w:p>
    <w:p w14:paraId="7286C781">
      <w:pPr>
        <w:widowControl/>
        <w:adjustRightInd w:val="0"/>
        <w:snapToGrid w:val="0"/>
        <w:spacing w:line="360" w:lineRule="auto"/>
        <w:jc w:val="left"/>
        <w:rPr>
          <w:rFonts w:asciiTheme="majorEastAsia" w:hAnsiTheme="majorEastAsia" w:eastAsiaTheme="majorEastAsia" w:cstheme="majorEastAsia"/>
          <w:spacing w:val="-6"/>
          <w:sz w:val="18"/>
          <w:szCs w:val="18"/>
        </w:rPr>
      </w:pPr>
      <w:r>
        <w:rPr>
          <w:rFonts w:hint="eastAsia" w:asciiTheme="majorEastAsia" w:hAnsiTheme="majorEastAsia" w:eastAsiaTheme="majorEastAsia" w:cstheme="majorEastAsia"/>
          <w:sz w:val="18"/>
          <w:szCs w:val="18"/>
        </w:rPr>
        <w:t>（2）报价人应按本文件规定的格式和顺序编制、装订报价文件并标注页码，报价文件内容</w:t>
      </w:r>
      <w:r>
        <w:rPr>
          <w:rFonts w:hint="eastAsia" w:asciiTheme="majorEastAsia" w:hAnsiTheme="majorEastAsia" w:eastAsiaTheme="majorEastAsia" w:cstheme="majorEastAsia"/>
          <w:spacing w:val="-6"/>
          <w:sz w:val="18"/>
          <w:szCs w:val="18"/>
        </w:rPr>
        <w:t>不完整、编排混乱导致被误读、漏读或者查找不到相关内容的，</w:t>
      </w:r>
      <w:r>
        <w:rPr>
          <w:rFonts w:hint="eastAsia" w:asciiTheme="majorEastAsia" w:hAnsiTheme="majorEastAsia" w:eastAsiaTheme="majorEastAsia" w:cstheme="majorEastAsia"/>
          <w:sz w:val="18"/>
          <w:szCs w:val="18"/>
        </w:rPr>
        <w:t>由此引发的</w:t>
      </w:r>
      <w:r>
        <w:rPr>
          <w:rFonts w:hint="eastAsia" w:asciiTheme="majorEastAsia" w:hAnsiTheme="majorEastAsia" w:eastAsiaTheme="majorEastAsia" w:cstheme="majorEastAsia"/>
          <w:spacing w:val="-6"/>
          <w:sz w:val="18"/>
          <w:szCs w:val="18"/>
        </w:rPr>
        <w:t>后果由</w:t>
      </w:r>
      <w:r>
        <w:rPr>
          <w:rFonts w:hint="eastAsia" w:asciiTheme="majorEastAsia" w:hAnsiTheme="majorEastAsia" w:eastAsiaTheme="majorEastAsia" w:cstheme="majorEastAsia"/>
          <w:sz w:val="18"/>
          <w:szCs w:val="18"/>
        </w:rPr>
        <w:t>报价人自行</w:t>
      </w:r>
      <w:r>
        <w:rPr>
          <w:rFonts w:hint="eastAsia" w:asciiTheme="majorEastAsia" w:hAnsiTheme="majorEastAsia" w:eastAsiaTheme="majorEastAsia" w:cstheme="majorEastAsia"/>
          <w:spacing w:val="-6"/>
          <w:sz w:val="18"/>
          <w:szCs w:val="18"/>
        </w:rPr>
        <w:t>承担。</w:t>
      </w:r>
    </w:p>
    <w:p w14:paraId="10E93A12">
      <w:pPr>
        <w:spacing w:line="360" w:lineRule="auto"/>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pacing w:val="-6"/>
          <w:sz w:val="18"/>
          <w:szCs w:val="18"/>
        </w:rPr>
        <w:t>（3）</w:t>
      </w:r>
      <w:r>
        <w:rPr>
          <w:rFonts w:hint="eastAsia" w:asciiTheme="majorEastAsia" w:hAnsiTheme="majorEastAsia" w:eastAsiaTheme="majorEastAsia" w:cstheme="majorEastAsia"/>
          <w:sz w:val="18"/>
          <w:szCs w:val="18"/>
        </w:rPr>
        <w:t>报价文件的封面应注明“正本”、“副本”字样，提供报价文件正、副本数量不足的将按无效响应处理。由于报价文件装订松散而造成的丢失或其他情况导致的不利后果由报价人自行承担。</w:t>
      </w:r>
    </w:p>
    <w:p w14:paraId="1AC31C6E">
      <w:pPr>
        <w:spacing w:line="360" w:lineRule="auto"/>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4）报价文件正、副本全部装入一个包封袋/箱中并加以密封，封口处必须加盖报价人公章或法定代表人签字或委托代理人签字，以示密封。报价文件外层包装封面上应标记“项目名称、项目编号（如有）、供应商名称、报价文件提交截止时间前不得启封”字样。未按规定密封的响应文件将被拒收。</w:t>
      </w:r>
    </w:p>
    <w:p w14:paraId="5C5840FA">
      <w:pPr>
        <w:pStyle w:val="39"/>
        <w:rPr>
          <w:rFonts w:asciiTheme="majorEastAsia" w:hAnsiTheme="majorEastAsia" w:eastAsiaTheme="majorEastAsia" w:cstheme="majorEastAsia"/>
          <w:b w:val="0"/>
          <w:bCs/>
          <w:sz w:val="18"/>
          <w:szCs w:val="18"/>
        </w:rPr>
      </w:pPr>
      <w:r>
        <w:rPr>
          <w:rFonts w:hint="eastAsia" w:asciiTheme="majorEastAsia" w:hAnsiTheme="majorEastAsia" w:eastAsiaTheme="majorEastAsia" w:cstheme="majorEastAsia"/>
          <w:b w:val="0"/>
          <w:bCs/>
          <w:spacing w:val="-6"/>
          <w:sz w:val="18"/>
          <w:szCs w:val="18"/>
        </w:rPr>
        <w:t>6.报价</w:t>
      </w:r>
      <w:r>
        <w:rPr>
          <w:rFonts w:hint="eastAsia" w:asciiTheme="majorEastAsia" w:hAnsiTheme="majorEastAsia" w:eastAsiaTheme="majorEastAsia" w:cstheme="majorEastAsia"/>
          <w:b w:val="0"/>
          <w:bCs/>
          <w:sz w:val="18"/>
          <w:szCs w:val="18"/>
        </w:rPr>
        <w:t>文件提交</w:t>
      </w:r>
    </w:p>
    <w:p w14:paraId="40C1A4F7">
      <w:pPr>
        <w:spacing w:line="480" w:lineRule="exact"/>
        <w:rPr>
          <w:rFonts w:asciiTheme="majorEastAsia" w:hAnsiTheme="majorEastAsia" w:eastAsiaTheme="majorEastAsia" w:cstheme="majorEastAsia"/>
          <w:b/>
          <w:bCs/>
          <w:sz w:val="18"/>
          <w:szCs w:val="18"/>
          <w:highlight w:val="none"/>
        </w:rPr>
      </w:pPr>
      <w:r>
        <w:rPr>
          <w:rFonts w:hint="eastAsia" w:asciiTheme="majorEastAsia" w:hAnsiTheme="majorEastAsia" w:eastAsiaTheme="majorEastAsia" w:cstheme="majorEastAsia"/>
          <w:sz w:val="18"/>
          <w:szCs w:val="18"/>
        </w:rPr>
        <w:t>（1）报价文件提交起止时间：</w:t>
      </w:r>
      <w:r>
        <w:rPr>
          <w:rFonts w:hint="eastAsia" w:asciiTheme="majorEastAsia" w:hAnsiTheme="majorEastAsia" w:eastAsiaTheme="majorEastAsia" w:cstheme="majorEastAsia"/>
          <w:sz w:val="18"/>
          <w:szCs w:val="18"/>
          <w:u w:val="single"/>
        </w:rPr>
        <w:t>2</w:t>
      </w:r>
      <w:r>
        <w:rPr>
          <w:rFonts w:hint="eastAsia" w:asciiTheme="majorEastAsia" w:hAnsiTheme="majorEastAsia" w:eastAsiaTheme="majorEastAsia" w:cstheme="majorEastAsia"/>
          <w:b/>
          <w:bCs/>
          <w:sz w:val="18"/>
          <w:szCs w:val="18"/>
          <w:highlight w:val="none"/>
          <w:u w:val="single"/>
        </w:rPr>
        <w:t xml:space="preserve">026年 </w:t>
      </w:r>
      <w:r>
        <w:rPr>
          <w:rFonts w:hint="eastAsia" w:asciiTheme="majorEastAsia" w:hAnsiTheme="majorEastAsia" w:eastAsiaTheme="majorEastAsia" w:cstheme="majorEastAsia"/>
          <w:b/>
          <w:bCs/>
          <w:sz w:val="18"/>
          <w:szCs w:val="18"/>
          <w:highlight w:val="none"/>
          <w:u w:val="single"/>
          <w:lang w:val="en-US" w:eastAsia="zh-CN"/>
        </w:rPr>
        <w:t>6</w:t>
      </w:r>
      <w:r>
        <w:rPr>
          <w:rFonts w:hint="eastAsia" w:asciiTheme="majorEastAsia" w:hAnsiTheme="majorEastAsia" w:eastAsiaTheme="majorEastAsia" w:cstheme="majorEastAsia"/>
          <w:b/>
          <w:bCs/>
          <w:sz w:val="18"/>
          <w:szCs w:val="18"/>
          <w:highlight w:val="none"/>
          <w:u w:val="single"/>
        </w:rPr>
        <w:t>月</w:t>
      </w:r>
      <w:r>
        <w:rPr>
          <w:rFonts w:hint="eastAsia" w:asciiTheme="majorEastAsia" w:hAnsiTheme="majorEastAsia" w:eastAsiaTheme="majorEastAsia" w:cstheme="majorEastAsia"/>
          <w:b/>
          <w:bCs/>
          <w:sz w:val="18"/>
          <w:szCs w:val="18"/>
          <w:highlight w:val="none"/>
          <w:u w:val="single"/>
          <w:lang w:val="en-US" w:eastAsia="zh-CN"/>
        </w:rPr>
        <w:t>2</w:t>
      </w:r>
      <w:r>
        <w:rPr>
          <w:rFonts w:hint="eastAsia" w:asciiTheme="majorEastAsia" w:hAnsiTheme="majorEastAsia" w:eastAsiaTheme="majorEastAsia" w:cstheme="majorEastAsia"/>
          <w:b/>
          <w:bCs/>
          <w:sz w:val="18"/>
          <w:szCs w:val="18"/>
          <w:highlight w:val="none"/>
          <w:u w:val="single"/>
        </w:rPr>
        <w:t>日9时00分至9时30分</w:t>
      </w:r>
      <w:r>
        <w:rPr>
          <w:rFonts w:hint="eastAsia" w:asciiTheme="majorEastAsia" w:hAnsiTheme="majorEastAsia" w:eastAsiaTheme="majorEastAsia" w:cstheme="majorEastAsia"/>
          <w:b/>
          <w:bCs/>
          <w:sz w:val="18"/>
          <w:szCs w:val="18"/>
          <w:highlight w:val="none"/>
        </w:rPr>
        <w:t>（北京时间）</w:t>
      </w:r>
    </w:p>
    <w:p w14:paraId="60993A02">
      <w:pPr>
        <w:spacing w:line="480" w:lineRule="exact"/>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（2）文件提交地点：</w:t>
      </w:r>
      <w:r>
        <w:rPr>
          <w:rFonts w:hint="eastAsia" w:asciiTheme="majorEastAsia" w:hAnsiTheme="majorEastAsia" w:eastAsiaTheme="majorEastAsia" w:cstheme="majorEastAsia"/>
          <w:kern w:val="0"/>
          <w:sz w:val="18"/>
          <w:szCs w:val="18"/>
        </w:rPr>
        <w:t>柳州职业技术大学（柳州市社湾路28号）A区办公楼201室</w:t>
      </w:r>
    </w:p>
    <w:p w14:paraId="23A29EDB">
      <w:pPr>
        <w:spacing w:line="480" w:lineRule="exact"/>
        <w:rPr>
          <w:rFonts w:asciiTheme="majorEastAsia" w:hAnsiTheme="majorEastAsia" w:eastAsiaTheme="majorEastAsia" w:cstheme="majorEastAsia"/>
          <w:kern w:val="0"/>
          <w:sz w:val="18"/>
          <w:szCs w:val="18"/>
        </w:rPr>
      </w:pPr>
      <w:r>
        <w:rPr>
          <w:rFonts w:hint="eastAsia" w:asciiTheme="majorEastAsia" w:hAnsiTheme="majorEastAsia" w:eastAsiaTheme="majorEastAsia" w:cstheme="majorEastAsia"/>
          <w:b/>
          <w:sz w:val="18"/>
          <w:szCs w:val="18"/>
          <w:u w:val="single"/>
        </w:rPr>
        <w:t>注：报价人应当在报价文件提交截止时间前，将报价文件密封送达提交地点。在报价文件提交截止时间后送达的报价文件为无效文件，采购将拒收。</w:t>
      </w:r>
    </w:p>
    <w:p w14:paraId="5BA32957">
      <w:pPr>
        <w:widowControl/>
        <w:numPr>
          <w:ilvl w:val="0"/>
          <w:numId w:val="3"/>
        </w:numPr>
        <w:adjustRightInd w:val="0"/>
        <w:snapToGrid w:val="0"/>
        <w:spacing w:line="520" w:lineRule="exact"/>
        <w:jc w:val="left"/>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凡对本次采购提出询问，请按以下方式联系</w:t>
      </w:r>
    </w:p>
    <w:p w14:paraId="5220CED7">
      <w:pPr>
        <w:widowControl/>
        <w:adjustRightInd w:val="0"/>
        <w:snapToGrid w:val="0"/>
        <w:spacing w:line="520" w:lineRule="exact"/>
        <w:jc w:val="left"/>
        <w:rPr>
          <w:rFonts w:hint="eastAsia" w:asciiTheme="majorEastAsia" w:hAnsiTheme="majorEastAsia" w:eastAsiaTheme="majorEastAsia" w:cstheme="majorEastAsia"/>
          <w:bCs/>
          <w:kern w:val="0"/>
          <w:sz w:val="18"/>
          <w:szCs w:val="18"/>
          <w:lang w:bidi="en-US"/>
        </w:rPr>
      </w:pPr>
      <w:r>
        <w:rPr>
          <w:rFonts w:hint="eastAsia" w:asciiTheme="majorEastAsia" w:hAnsiTheme="majorEastAsia" w:eastAsiaTheme="majorEastAsia" w:cstheme="majorEastAsia"/>
          <w:bCs/>
          <w:kern w:val="0"/>
          <w:sz w:val="18"/>
          <w:szCs w:val="18"/>
          <w:lang w:bidi="en-US"/>
        </w:rPr>
        <w:t>（1）技术及需求咨询联系人：王</w:t>
      </w:r>
      <w:r>
        <w:rPr>
          <w:rFonts w:hint="eastAsia" w:asciiTheme="majorEastAsia" w:hAnsiTheme="majorEastAsia" w:eastAsiaTheme="majorEastAsia" w:cstheme="majorEastAsia"/>
          <w:bCs/>
          <w:kern w:val="0"/>
          <w:sz w:val="18"/>
          <w:szCs w:val="18"/>
          <w:lang w:val="en-US" w:eastAsia="zh-CN" w:bidi="en-US"/>
        </w:rPr>
        <w:t>老师</w:t>
      </w:r>
      <w:r>
        <w:rPr>
          <w:rFonts w:hint="eastAsia" w:asciiTheme="majorEastAsia" w:hAnsiTheme="majorEastAsia" w:eastAsiaTheme="majorEastAsia" w:cstheme="majorEastAsia"/>
          <w:bCs/>
          <w:kern w:val="0"/>
          <w:sz w:val="18"/>
          <w:szCs w:val="18"/>
          <w:lang w:bidi="en-US"/>
        </w:rPr>
        <w:t xml:space="preserve">   联系电话：18934829352 。</w:t>
      </w:r>
    </w:p>
    <w:p w14:paraId="4FABFDAC">
      <w:pPr>
        <w:widowControl/>
        <w:adjustRightInd w:val="0"/>
        <w:snapToGrid w:val="0"/>
        <w:spacing w:line="520" w:lineRule="exact"/>
        <w:jc w:val="left"/>
        <w:rPr>
          <w:rFonts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 xml:space="preserve">（2）报价文件接收联系人：资产管理处办公室工作人员      联系电话：0772-3156307   </w:t>
      </w:r>
    </w:p>
    <w:p w14:paraId="0C265B17">
      <w:pPr>
        <w:widowControl/>
        <w:jc w:val="left"/>
        <w:rPr>
          <w:rFonts w:asciiTheme="majorEastAsia" w:hAnsiTheme="majorEastAsia" w:eastAsiaTheme="majorEastAsia" w:cstheme="majorEastAsia"/>
          <w:sz w:val="18"/>
          <w:szCs w:val="18"/>
        </w:rPr>
      </w:pPr>
    </w:p>
    <w:p w14:paraId="14AE9005">
      <w:pPr>
        <w:widowControl/>
        <w:ind w:firstLine="9126" w:firstLineChars="5050"/>
        <w:jc w:val="left"/>
        <w:rPr>
          <w:rFonts w:asciiTheme="majorEastAsia" w:hAnsiTheme="majorEastAsia" w:eastAsiaTheme="majorEastAsia" w:cstheme="majorEastAsia"/>
          <w:b/>
          <w:sz w:val="18"/>
          <w:szCs w:val="18"/>
        </w:rPr>
      </w:pPr>
      <w:r>
        <w:rPr>
          <w:rFonts w:hint="eastAsia" w:asciiTheme="majorEastAsia" w:hAnsiTheme="majorEastAsia" w:eastAsiaTheme="majorEastAsia" w:cstheme="majorEastAsia"/>
          <w:b/>
          <w:sz w:val="18"/>
          <w:szCs w:val="18"/>
        </w:rPr>
        <w:t>柳州职业技术大学</w:t>
      </w:r>
    </w:p>
    <w:p w14:paraId="25731739">
      <w:pPr>
        <w:widowControl/>
        <w:jc w:val="left"/>
        <w:rPr>
          <w:rFonts w:asciiTheme="majorEastAsia" w:hAnsiTheme="majorEastAsia" w:eastAsiaTheme="majorEastAsia" w:cstheme="majorEastAsia"/>
          <w:b/>
          <w:sz w:val="18"/>
          <w:szCs w:val="18"/>
        </w:rPr>
      </w:pPr>
      <w:r>
        <w:rPr>
          <w:rFonts w:hint="eastAsia" w:asciiTheme="majorEastAsia" w:hAnsiTheme="majorEastAsia" w:eastAsiaTheme="majorEastAsia" w:cstheme="majorEastAsia"/>
          <w:b/>
          <w:sz w:val="18"/>
          <w:szCs w:val="18"/>
        </w:rPr>
        <w:t xml:space="preserve">                                                                         </w:t>
      </w:r>
      <w:r>
        <w:rPr>
          <w:rFonts w:hint="eastAsia" w:asciiTheme="majorEastAsia" w:hAnsiTheme="majorEastAsia" w:eastAsiaTheme="majorEastAsia" w:cstheme="majorEastAsia"/>
          <w:b/>
          <w:sz w:val="18"/>
          <w:szCs w:val="18"/>
          <w:lang w:val="en-US" w:eastAsia="zh-CN"/>
        </w:rPr>
        <w:t xml:space="preserve">                              </w:t>
      </w:r>
      <w:r>
        <w:rPr>
          <w:rFonts w:hint="eastAsia" w:asciiTheme="majorEastAsia" w:hAnsiTheme="majorEastAsia" w:eastAsiaTheme="majorEastAsia" w:cstheme="majorEastAsia"/>
          <w:b/>
          <w:sz w:val="18"/>
          <w:szCs w:val="18"/>
        </w:rPr>
        <w:t>2026年</w:t>
      </w:r>
      <w:r>
        <w:rPr>
          <w:rFonts w:hint="eastAsia" w:asciiTheme="majorEastAsia" w:hAnsiTheme="majorEastAsia" w:eastAsiaTheme="majorEastAsia" w:cstheme="majorEastAsia"/>
          <w:b/>
          <w:sz w:val="18"/>
          <w:szCs w:val="18"/>
          <w:lang w:val="en-US" w:eastAsia="zh-CN"/>
        </w:rPr>
        <w:t>5</w:t>
      </w:r>
      <w:r>
        <w:rPr>
          <w:rFonts w:hint="eastAsia" w:asciiTheme="majorEastAsia" w:hAnsiTheme="majorEastAsia" w:eastAsiaTheme="majorEastAsia" w:cstheme="majorEastAsia"/>
          <w:b/>
          <w:sz w:val="18"/>
          <w:szCs w:val="18"/>
        </w:rPr>
        <w:t>月</w:t>
      </w:r>
      <w:r>
        <w:rPr>
          <w:rFonts w:hint="eastAsia" w:asciiTheme="majorEastAsia" w:hAnsiTheme="majorEastAsia" w:eastAsiaTheme="majorEastAsia" w:cstheme="majorEastAsia"/>
          <w:b/>
          <w:sz w:val="18"/>
          <w:szCs w:val="18"/>
          <w:lang w:val="en-US" w:eastAsia="zh-CN"/>
        </w:rPr>
        <w:t>25</w:t>
      </w:r>
      <w:r>
        <w:rPr>
          <w:rFonts w:hint="eastAsia" w:asciiTheme="majorEastAsia" w:hAnsiTheme="majorEastAsia" w:eastAsiaTheme="majorEastAsia" w:cstheme="majorEastAsia"/>
          <w:b/>
          <w:sz w:val="18"/>
          <w:szCs w:val="18"/>
        </w:rPr>
        <w:t>日</w:t>
      </w:r>
    </w:p>
    <w:p w14:paraId="23DDF101">
      <w:pPr>
        <w:pStyle w:val="8"/>
        <w:snapToGrid w:val="0"/>
        <w:spacing w:before="295" w:after="295" w:line="400" w:lineRule="exact"/>
        <w:rPr>
          <w:rFonts w:ascii="Arial" w:hAnsi="Arial" w:cs="Arial"/>
          <w:bCs/>
          <w:sz w:val="24"/>
          <w:szCs w:val="24"/>
        </w:rPr>
      </w:pPr>
    </w:p>
    <w:p w14:paraId="5B6E314F">
      <w:pPr>
        <w:pStyle w:val="7"/>
      </w:pPr>
    </w:p>
    <w:p w14:paraId="4BA261F7">
      <w:pPr>
        <w:pStyle w:val="7"/>
      </w:pPr>
    </w:p>
    <w:p w14:paraId="0CCE5785">
      <w:pPr>
        <w:pStyle w:val="7"/>
      </w:pPr>
    </w:p>
    <w:p w14:paraId="611579DD">
      <w:pPr>
        <w:pStyle w:val="7"/>
      </w:pPr>
    </w:p>
    <w:p w14:paraId="10821A60">
      <w:pPr>
        <w:pStyle w:val="7"/>
      </w:pPr>
    </w:p>
    <w:p w14:paraId="5325E002">
      <w:pPr>
        <w:pStyle w:val="7"/>
      </w:pPr>
    </w:p>
    <w:p w14:paraId="1DF5414A">
      <w:pPr>
        <w:pStyle w:val="7"/>
      </w:pPr>
    </w:p>
    <w:p w14:paraId="403EF82E">
      <w:pPr>
        <w:pStyle w:val="7"/>
      </w:pPr>
    </w:p>
    <w:p w14:paraId="0E3CCCFD">
      <w:pPr>
        <w:pStyle w:val="7"/>
      </w:pPr>
    </w:p>
    <w:p w14:paraId="0B04879C">
      <w:pPr>
        <w:pStyle w:val="7"/>
      </w:pPr>
    </w:p>
    <w:p w14:paraId="4FD8EFB5">
      <w:pPr>
        <w:pStyle w:val="7"/>
      </w:pPr>
    </w:p>
    <w:p w14:paraId="79F3FD6D">
      <w:pPr>
        <w:pStyle w:val="7"/>
      </w:pPr>
    </w:p>
    <w:p w14:paraId="6B1C8817">
      <w:pPr>
        <w:pStyle w:val="7"/>
      </w:pPr>
    </w:p>
    <w:p w14:paraId="3121514C">
      <w:pPr>
        <w:pStyle w:val="7"/>
      </w:pPr>
    </w:p>
    <w:p w14:paraId="2E407467">
      <w:pPr>
        <w:pStyle w:val="7"/>
      </w:pPr>
    </w:p>
    <w:p w14:paraId="53F6B123">
      <w:pPr>
        <w:pStyle w:val="7"/>
      </w:pPr>
    </w:p>
    <w:p w14:paraId="0A7C4BD2">
      <w:pPr>
        <w:pStyle w:val="7"/>
      </w:pPr>
    </w:p>
    <w:p w14:paraId="69F37D6F">
      <w:pPr>
        <w:pStyle w:val="7"/>
      </w:pPr>
    </w:p>
    <w:p w14:paraId="776272BE">
      <w:pPr>
        <w:pStyle w:val="7"/>
        <w:jc w:val="center"/>
        <w:rPr>
          <w:b/>
          <w:sz w:val="48"/>
          <w:szCs w:val="40"/>
        </w:rPr>
      </w:pPr>
      <w:r>
        <w:rPr>
          <w:rFonts w:hint="eastAsia"/>
          <w:b/>
          <w:sz w:val="48"/>
          <w:szCs w:val="40"/>
        </w:rPr>
        <w:t>报价文件格式</w:t>
      </w:r>
    </w:p>
    <w:p w14:paraId="666830FA">
      <w:pPr>
        <w:pStyle w:val="7"/>
        <w:jc w:val="center"/>
        <w:rPr>
          <w:b/>
          <w:sz w:val="44"/>
          <w:szCs w:val="36"/>
        </w:rPr>
      </w:pPr>
    </w:p>
    <w:p w14:paraId="7A1914C7">
      <w:pPr>
        <w:jc w:val="left"/>
        <w:outlineLvl w:val="1"/>
        <w:rPr>
          <w:rFonts w:ascii="宋体" w:hAnsi="Times New Roman" w:eastAsia="仿宋" w:cs="Times New Roman"/>
          <w:b/>
          <w:sz w:val="36"/>
          <w:szCs w:val="36"/>
        </w:rPr>
      </w:pPr>
      <w:bookmarkStart w:id="0" w:name="_Toc254970556"/>
      <w:bookmarkStart w:id="1" w:name="_Toc254970697"/>
      <w:bookmarkStart w:id="2" w:name="_Toc107424598"/>
      <w:r>
        <w:rPr>
          <w:rFonts w:hint="eastAsia" w:ascii="宋体" w:hAnsi="Times New Roman" w:eastAsia="仿宋" w:cs="Times New Roman"/>
          <w:b/>
          <w:sz w:val="36"/>
          <w:szCs w:val="36"/>
        </w:rPr>
        <w:t>报价文件外层包装封面（格式 ）</w:t>
      </w:r>
      <w:bookmarkEnd w:id="0"/>
      <w:bookmarkEnd w:id="1"/>
      <w:bookmarkEnd w:id="2"/>
      <w:r>
        <w:rPr>
          <w:rFonts w:hint="eastAsia" w:ascii="宋体" w:hAnsi="Times New Roman" w:eastAsia="仿宋" w:cs="Times New Roman"/>
          <w:b/>
          <w:sz w:val="36"/>
          <w:szCs w:val="36"/>
        </w:rPr>
        <w:t xml:space="preserve"> </w:t>
      </w:r>
    </w:p>
    <w:p w14:paraId="2B3F651D">
      <w:pPr>
        <w:spacing w:line="440" w:lineRule="exact"/>
        <w:ind w:firstLine="720" w:firstLineChars="200"/>
        <w:jc w:val="left"/>
        <w:rPr>
          <w:rFonts w:ascii="宋体" w:hAnsi="Times New Roman" w:eastAsia="仿宋" w:cs="Times New Roman"/>
          <w:sz w:val="36"/>
          <w:szCs w:val="36"/>
        </w:rPr>
      </w:pPr>
    </w:p>
    <w:p w14:paraId="2C6FE6FF">
      <w:pPr>
        <w:snapToGrid w:val="0"/>
        <w:spacing w:before="156" w:beforeLines="50" w:after="50" w:line="360" w:lineRule="auto"/>
        <w:jc w:val="center"/>
        <w:rPr>
          <w:rFonts w:ascii="宋体" w:hAnsi="宋体" w:eastAsia="宋体" w:cs="宋体"/>
          <w:b/>
          <w:sz w:val="48"/>
          <w:szCs w:val="48"/>
        </w:rPr>
      </w:pPr>
      <w:r>
        <w:rPr>
          <w:rFonts w:hint="eastAsia" w:ascii="宋体" w:hAnsi="宋体" w:eastAsia="宋体" w:cs="宋体"/>
          <w:b/>
          <w:sz w:val="48"/>
          <w:szCs w:val="48"/>
        </w:rPr>
        <w:t>报 价 文 件</w:t>
      </w:r>
    </w:p>
    <w:p w14:paraId="1431D575">
      <w:pPr>
        <w:snapToGrid w:val="0"/>
        <w:spacing w:before="156" w:beforeLines="50" w:after="50" w:line="360" w:lineRule="auto"/>
        <w:jc w:val="center"/>
        <w:rPr>
          <w:rFonts w:ascii="宋体" w:hAnsi="宋体" w:eastAsia="宋体" w:cs="宋体"/>
          <w:b/>
          <w:sz w:val="44"/>
          <w:szCs w:val="44"/>
        </w:rPr>
      </w:pPr>
    </w:p>
    <w:p w14:paraId="5357E3B7">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项目名称：</w:t>
      </w:r>
      <w:r>
        <w:rPr>
          <w:rFonts w:hint="eastAsia" w:ascii="宋体" w:hAnsi="宋体" w:eastAsia="仿宋" w:cs="Times New Roman"/>
          <w:bCs/>
          <w:sz w:val="32"/>
          <w:szCs w:val="32"/>
          <w:u w:val="single"/>
        </w:rPr>
        <w:t xml:space="preserve">                         </w:t>
      </w:r>
    </w:p>
    <w:p w14:paraId="5111AF07">
      <w:pPr>
        <w:pStyle w:val="7"/>
        <w:rPr>
          <w:sz w:val="32"/>
          <w:szCs w:val="32"/>
        </w:rPr>
      </w:pPr>
    </w:p>
    <w:p w14:paraId="175B0774">
      <w:pPr>
        <w:snapToGrid w:val="0"/>
        <w:spacing w:line="276" w:lineRule="auto"/>
        <w:ind w:firstLine="640" w:firstLineChars="200"/>
        <w:jc w:val="left"/>
        <w:rPr>
          <w:rFonts w:ascii="宋体" w:hAnsi="宋体" w:eastAsia="仿宋" w:cs="Times New Roman"/>
          <w:bCs/>
          <w:sz w:val="32"/>
          <w:szCs w:val="32"/>
          <w:u w:val="single"/>
        </w:rPr>
      </w:pPr>
      <w:r>
        <w:rPr>
          <w:rFonts w:ascii="宋体" w:hAnsi="宋体" w:eastAsia="仿宋" w:cs="Times New Roman"/>
          <w:bCs/>
          <w:sz w:val="32"/>
          <w:szCs w:val="32"/>
        </w:rPr>
        <w:t>项目编号：</w:t>
      </w:r>
      <w:r>
        <w:rPr>
          <w:rFonts w:hint="eastAsia" w:ascii="宋体" w:hAnsi="宋体" w:eastAsia="仿宋" w:cs="Times New Roman"/>
          <w:bCs/>
          <w:sz w:val="32"/>
          <w:szCs w:val="32"/>
          <w:u w:val="single"/>
        </w:rPr>
        <w:t xml:space="preserve">                         </w:t>
      </w:r>
    </w:p>
    <w:p w14:paraId="555BF794">
      <w:pPr>
        <w:pStyle w:val="7"/>
        <w:rPr>
          <w:sz w:val="32"/>
          <w:szCs w:val="32"/>
        </w:rPr>
      </w:pPr>
    </w:p>
    <w:p w14:paraId="512C022A">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报价人名称：</w:t>
      </w:r>
      <w:r>
        <w:rPr>
          <w:rFonts w:hint="eastAsia" w:ascii="宋体" w:hAnsi="宋体" w:eastAsia="仿宋" w:cs="Times New Roman"/>
          <w:bCs/>
          <w:sz w:val="32"/>
          <w:szCs w:val="32"/>
          <w:u w:val="single"/>
        </w:rPr>
        <w:t xml:space="preserve">                         </w:t>
      </w:r>
    </w:p>
    <w:p w14:paraId="55BB09D7">
      <w:pPr>
        <w:snapToGrid w:val="0"/>
        <w:spacing w:line="276" w:lineRule="auto"/>
        <w:ind w:firstLine="640" w:firstLineChars="200"/>
        <w:jc w:val="left"/>
        <w:rPr>
          <w:rFonts w:ascii="宋体" w:hAnsi="宋体" w:eastAsia="仿宋" w:cs="Times New Roman"/>
          <w:bCs/>
          <w:sz w:val="32"/>
          <w:szCs w:val="32"/>
          <w:u w:val="single"/>
        </w:rPr>
      </w:pPr>
    </w:p>
    <w:p w14:paraId="57858949">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报价人地址：</w:t>
      </w:r>
      <w:r>
        <w:rPr>
          <w:rFonts w:hint="eastAsia" w:ascii="宋体" w:hAnsi="宋体" w:eastAsia="仿宋" w:cs="Times New Roman"/>
          <w:bCs/>
          <w:sz w:val="32"/>
          <w:szCs w:val="32"/>
          <w:u w:val="single"/>
        </w:rPr>
        <w:t xml:space="preserve">                         </w:t>
      </w:r>
    </w:p>
    <w:p w14:paraId="28724E56">
      <w:pPr>
        <w:snapToGrid w:val="0"/>
        <w:spacing w:line="276" w:lineRule="auto"/>
        <w:ind w:firstLine="640" w:firstLineChars="200"/>
        <w:jc w:val="left"/>
        <w:rPr>
          <w:rFonts w:ascii="宋体" w:hAnsi="宋体" w:eastAsia="仿宋" w:cs="Times New Roman"/>
          <w:bCs/>
          <w:sz w:val="32"/>
          <w:szCs w:val="32"/>
          <w:u w:val="single"/>
        </w:rPr>
      </w:pPr>
    </w:p>
    <w:p w14:paraId="4A027DC1">
      <w:pPr>
        <w:snapToGrid w:val="0"/>
        <w:spacing w:line="276" w:lineRule="auto"/>
        <w:ind w:firstLine="640" w:firstLineChars="200"/>
        <w:jc w:val="left"/>
        <w:rPr>
          <w:rFonts w:ascii="宋体" w:hAnsi="宋体" w:eastAsia="仿宋" w:cs="Times New Roman"/>
          <w:bCs/>
          <w:sz w:val="32"/>
          <w:szCs w:val="32"/>
          <w:u w:val="single"/>
        </w:rPr>
      </w:pPr>
    </w:p>
    <w:p w14:paraId="5C9AC284">
      <w:pPr>
        <w:snapToGrid w:val="0"/>
        <w:spacing w:line="276" w:lineRule="auto"/>
        <w:ind w:firstLine="640" w:firstLineChars="200"/>
        <w:jc w:val="left"/>
        <w:rPr>
          <w:rFonts w:ascii="宋体" w:hAnsi="宋体" w:eastAsia="仿宋" w:cs="Times New Roman"/>
          <w:bCs/>
          <w:sz w:val="32"/>
          <w:szCs w:val="32"/>
          <w:u w:val="single"/>
        </w:rPr>
      </w:pPr>
    </w:p>
    <w:p w14:paraId="36425F6D">
      <w:pPr>
        <w:snapToGrid w:val="0"/>
        <w:spacing w:before="156" w:beforeLines="50" w:after="50"/>
        <w:ind w:firstLine="480" w:firstLineChars="150"/>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响应文件提交截止时间前不得启封</w:t>
      </w:r>
    </w:p>
    <w:p w14:paraId="2EFD7B1B">
      <w:pPr>
        <w:snapToGrid w:val="0"/>
        <w:spacing w:line="276" w:lineRule="auto"/>
        <w:ind w:firstLine="640" w:firstLineChars="200"/>
        <w:jc w:val="left"/>
        <w:rPr>
          <w:rFonts w:ascii="宋体" w:hAnsi="宋体" w:eastAsia="仿宋" w:cs="Times New Roman"/>
          <w:bCs/>
          <w:sz w:val="32"/>
          <w:szCs w:val="32"/>
          <w:u w:val="single"/>
        </w:rPr>
      </w:pPr>
    </w:p>
    <w:p w14:paraId="0A9CAEC9">
      <w:pPr>
        <w:snapToGrid w:val="0"/>
        <w:spacing w:line="276" w:lineRule="auto"/>
        <w:ind w:firstLine="640" w:firstLineChars="200"/>
        <w:jc w:val="left"/>
        <w:rPr>
          <w:rFonts w:ascii="宋体" w:hAnsi="宋体" w:eastAsia="仿宋" w:cs="Times New Roman"/>
          <w:bCs/>
          <w:sz w:val="32"/>
          <w:szCs w:val="32"/>
        </w:rPr>
      </w:pPr>
    </w:p>
    <w:p w14:paraId="74389DE7">
      <w:pPr>
        <w:snapToGrid w:val="0"/>
        <w:spacing w:line="276" w:lineRule="auto"/>
        <w:ind w:firstLine="540" w:firstLineChars="150"/>
        <w:jc w:val="center"/>
        <w:rPr>
          <w:rFonts w:ascii="宋体" w:hAnsi="宋体" w:eastAsia="仿宋" w:cs="Times New Roman"/>
          <w:bCs/>
          <w:sz w:val="36"/>
          <w:szCs w:val="36"/>
        </w:rPr>
      </w:pPr>
    </w:p>
    <w:p w14:paraId="7779E040">
      <w:pPr>
        <w:pStyle w:val="7"/>
        <w:jc w:val="center"/>
        <w:rPr>
          <w:b/>
          <w:sz w:val="44"/>
          <w:szCs w:val="36"/>
        </w:rPr>
      </w:pPr>
    </w:p>
    <w:p w14:paraId="5050054A">
      <w:pPr>
        <w:pStyle w:val="7"/>
        <w:jc w:val="center"/>
        <w:rPr>
          <w:b/>
          <w:sz w:val="44"/>
          <w:szCs w:val="36"/>
        </w:rPr>
      </w:pPr>
    </w:p>
    <w:p w14:paraId="7D8AE5B0">
      <w:pPr>
        <w:pStyle w:val="7"/>
        <w:jc w:val="center"/>
        <w:rPr>
          <w:b/>
          <w:sz w:val="44"/>
          <w:szCs w:val="36"/>
        </w:rPr>
      </w:pPr>
    </w:p>
    <w:p w14:paraId="65B627EF">
      <w:pPr>
        <w:pStyle w:val="7"/>
        <w:jc w:val="center"/>
        <w:rPr>
          <w:b/>
          <w:sz w:val="44"/>
          <w:szCs w:val="36"/>
        </w:rPr>
      </w:pPr>
    </w:p>
    <w:p w14:paraId="7A11EE56">
      <w:pPr>
        <w:pStyle w:val="7"/>
        <w:numPr>
          <w:ilvl w:val="0"/>
          <w:numId w:val="4"/>
        </w:numPr>
        <w:jc w:val="left"/>
        <w:rPr>
          <w:b/>
          <w:sz w:val="36"/>
          <w:szCs w:val="36"/>
        </w:rPr>
      </w:pPr>
      <w:r>
        <w:rPr>
          <w:rFonts w:hint="eastAsia"/>
          <w:b/>
          <w:sz w:val="36"/>
          <w:szCs w:val="36"/>
        </w:rPr>
        <w:t>资格证明文件格式</w:t>
      </w:r>
    </w:p>
    <w:p w14:paraId="5D7C8A4D">
      <w:pPr>
        <w:jc w:val="left"/>
        <w:outlineLvl w:val="1"/>
        <w:rPr>
          <w:rFonts w:ascii="仿宋" w:hAnsi="仿宋" w:eastAsia="仿宋" w:cs="仿宋"/>
          <w:b/>
          <w:sz w:val="32"/>
          <w:szCs w:val="32"/>
        </w:rPr>
      </w:pPr>
      <w:r>
        <w:rPr>
          <w:rFonts w:hint="eastAsia" w:ascii="仿宋" w:hAnsi="仿宋" w:eastAsia="仿宋" w:cs="仿宋"/>
          <w:b/>
          <w:sz w:val="32"/>
          <w:szCs w:val="32"/>
        </w:rPr>
        <w:t>1.资格证明文件封面（格式）：</w:t>
      </w:r>
    </w:p>
    <w:p w14:paraId="55E7ED38">
      <w:pPr>
        <w:snapToGrid w:val="0"/>
        <w:spacing w:before="156" w:beforeLines="50" w:after="50"/>
        <w:ind w:firstLine="8723" w:firstLineChars="2726"/>
        <w:rPr>
          <w:rFonts w:hAnsi="仿宋"/>
          <w:bCs/>
          <w:sz w:val="32"/>
          <w:szCs w:val="32"/>
        </w:rPr>
      </w:pPr>
      <w:r>
        <w:rPr>
          <w:rFonts w:hint="eastAsia" w:hAnsi="仿宋"/>
          <w:bCs/>
          <w:sz w:val="32"/>
          <w:szCs w:val="32"/>
        </w:rPr>
        <w:t>正本/副本</w:t>
      </w:r>
    </w:p>
    <w:p w14:paraId="418AD244">
      <w:pPr>
        <w:snapToGrid w:val="0"/>
        <w:spacing w:before="156" w:beforeLines="50" w:after="50" w:line="360" w:lineRule="exact"/>
        <w:rPr>
          <w:rFonts w:ascii="宋体" w:hAnsi="宋体" w:eastAsia="宋体" w:cs="Times New Roman"/>
          <w:b/>
          <w:sz w:val="44"/>
          <w:szCs w:val="24"/>
        </w:rPr>
      </w:pPr>
    </w:p>
    <w:p w14:paraId="76120DB3">
      <w:pPr>
        <w:snapToGrid w:val="0"/>
        <w:spacing w:before="156" w:beforeLines="50" w:after="50" w:line="360" w:lineRule="exact"/>
        <w:ind w:firstLine="3278" w:firstLineChars="742"/>
        <w:rPr>
          <w:rFonts w:ascii="宋体" w:hAnsi="宋体" w:eastAsia="宋体" w:cs="Times New Roman"/>
          <w:b/>
          <w:sz w:val="44"/>
          <w:szCs w:val="24"/>
        </w:rPr>
      </w:pPr>
    </w:p>
    <w:p w14:paraId="4E1BF81E">
      <w:pPr>
        <w:jc w:val="center"/>
        <w:outlineLvl w:val="1"/>
        <w:rPr>
          <w:rFonts w:ascii="仿宋" w:hAnsi="仿宋" w:eastAsia="仿宋" w:cs="仿宋"/>
          <w:b/>
          <w:sz w:val="36"/>
          <w:szCs w:val="36"/>
        </w:rPr>
      </w:pPr>
      <w:r>
        <w:rPr>
          <w:rFonts w:hint="eastAsia" w:ascii="仿宋" w:hAnsi="仿宋" w:eastAsia="仿宋" w:cs="仿宋"/>
          <w:b/>
          <w:sz w:val="40"/>
          <w:szCs w:val="40"/>
        </w:rPr>
        <w:t>资格证明文件</w:t>
      </w:r>
    </w:p>
    <w:p w14:paraId="66E0B16D">
      <w:pPr>
        <w:snapToGrid w:val="0"/>
        <w:spacing w:before="156" w:beforeLines="50" w:after="50" w:line="360" w:lineRule="exact"/>
        <w:rPr>
          <w:rFonts w:ascii="宋体" w:hAnsi="宋体" w:eastAsia="宋体" w:cs="Times New Roman"/>
          <w:szCs w:val="24"/>
        </w:rPr>
      </w:pPr>
      <w:r>
        <w:rPr>
          <w:rFonts w:hint="eastAsia" w:ascii="宋体" w:hAnsi="宋体" w:eastAsia="宋体" w:cs="Times New Roman"/>
          <w:bCs/>
          <w:sz w:val="30"/>
          <w:szCs w:val="28"/>
        </w:rPr>
        <w:t xml:space="preserve"> </w:t>
      </w:r>
    </w:p>
    <w:p w14:paraId="6B165B77">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项目名称：</w:t>
      </w:r>
      <w:r>
        <w:rPr>
          <w:rFonts w:hint="eastAsia" w:ascii="宋体" w:hAnsi="宋体" w:eastAsia="宋体" w:cs="Times New Roman"/>
          <w:bCs/>
          <w:sz w:val="28"/>
          <w:szCs w:val="24"/>
          <w:u w:val="single"/>
        </w:rPr>
        <w:t xml:space="preserve">                       </w:t>
      </w:r>
    </w:p>
    <w:p w14:paraId="0BB2990A">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项目编号：</w:t>
      </w:r>
      <w:r>
        <w:rPr>
          <w:rFonts w:hint="eastAsia" w:ascii="宋体" w:hAnsi="宋体" w:eastAsia="宋体" w:cs="Times New Roman"/>
          <w:bCs/>
          <w:sz w:val="28"/>
          <w:szCs w:val="24"/>
          <w:u w:val="single"/>
        </w:rPr>
        <w:t xml:space="preserve">                         </w:t>
      </w:r>
    </w:p>
    <w:p w14:paraId="6BA40633">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供应商名称：</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 xml:space="preserve">   （加盖单位公章）</w:t>
      </w:r>
    </w:p>
    <w:p w14:paraId="288583F8">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供应商地址：</w:t>
      </w:r>
      <w:r>
        <w:rPr>
          <w:rFonts w:hint="eastAsia" w:ascii="宋体" w:hAnsi="宋体" w:eastAsia="宋体" w:cs="Times New Roman"/>
          <w:bCs/>
          <w:sz w:val="28"/>
          <w:szCs w:val="24"/>
          <w:u w:val="single"/>
        </w:rPr>
        <w:t xml:space="preserve">                      </w:t>
      </w:r>
    </w:p>
    <w:p w14:paraId="7FC4533C">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联系人：</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联系电话：</w:t>
      </w:r>
      <w:r>
        <w:rPr>
          <w:rFonts w:hint="eastAsia" w:ascii="宋体" w:hAnsi="宋体" w:eastAsia="宋体" w:cs="Times New Roman"/>
          <w:bCs/>
          <w:sz w:val="28"/>
          <w:szCs w:val="24"/>
          <w:u w:val="single"/>
        </w:rPr>
        <w:t xml:space="preserve">               </w:t>
      </w:r>
    </w:p>
    <w:p w14:paraId="21FEA1F8">
      <w:pPr>
        <w:snapToGrid w:val="0"/>
        <w:spacing w:line="1000" w:lineRule="exact"/>
        <w:ind w:firstLine="840" w:firstLineChars="300"/>
        <w:rPr>
          <w:rFonts w:ascii="宋体" w:hAnsi="宋体" w:eastAsia="宋体" w:cs="Times New Roman"/>
          <w:bCs/>
          <w:sz w:val="28"/>
          <w:szCs w:val="24"/>
          <w:u w:val="single"/>
        </w:rPr>
      </w:pPr>
    </w:p>
    <w:p w14:paraId="22CD5945">
      <w:pPr>
        <w:pStyle w:val="7"/>
        <w:jc w:val="left"/>
        <w:rPr>
          <w:b/>
          <w:sz w:val="36"/>
          <w:szCs w:val="36"/>
        </w:rPr>
      </w:pPr>
    </w:p>
    <w:p w14:paraId="470AC734">
      <w:pPr>
        <w:pStyle w:val="7"/>
        <w:jc w:val="left"/>
        <w:rPr>
          <w:b/>
          <w:sz w:val="36"/>
          <w:szCs w:val="36"/>
        </w:rPr>
      </w:pPr>
    </w:p>
    <w:p w14:paraId="23E8BFE9">
      <w:pPr>
        <w:pStyle w:val="7"/>
        <w:jc w:val="left"/>
        <w:rPr>
          <w:b/>
          <w:sz w:val="36"/>
          <w:szCs w:val="36"/>
        </w:rPr>
      </w:pPr>
    </w:p>
    <w:p w14:paraId="1A62783F">
      <w:pPr>
        <w:pStyle w:val="7"/>
        <w:jc w:val="left"/>
        <w:rPr>
          <w:b/>
          <w:sz w:val="36"/>
          <w:szCs w:val="36"/>
        </w:rPr>
      </w:pPr>
    </w:p>
    <w:p w14:paraId="37870246">
      <w:pPr>
        <w:pStyle w:val="7"/>
        <w:jc w:val="left"/>
        <w:rPr>
          <w:b/>
          <w:sz w:val="36"/>
          <w:szCs w:val="36"/>
        </w:rPr>
      </w:pPr>
    </w:p>
    <w:p w14:paraId="03D6C588">
      <w:pPr>
        <w:pStyle w:val="7"/>
        <w:jc w:val="left"/>
        <w:rPr>
          <w:b/>
          <w:sz w:val="36"/>
          <w:szCs w:val="36"/>
        </w:rPr>
      </w:pPr>
    </w:p>
    <w:p w14:paraId="1E983098">
      <w:pPr>
        <w:pStyle w:val="7"/>
        <w:jc w:val="left"/>
        <w:rPr>
          <w:b/>
          <w:sz w:val="36"/>
          <w:szCs w:val="36"/>
        </w:rPr>
      </w:pPr>
    </w:p>
    <w:p w14:paraId="573B5DE7">
      <w:pPr>
        <w:pStyle w:val="40"/>
        <w:rPr>
          <w:rFonts w:ascii="仿宋" w:hAnsi="仿宋" w:eastAsia="仿宋" w:cs="仿宋"/>
          <w:color w:val="auto"/>
          <w:sz w:val="32"/>
          <w:szCs w:val="32"/>
        </w:rPr>
      </w:pPr>
      <w:r>
        <w:rPr>
          <w:rFonts w:hint="eastAsia" w:ascii="仿宋" w:hAnsi="仿宋" w:eastAsia="仿宋" w:cs="仿宋"/>
          <w:color w:val="auto"/>
          <w:sz w:val="32"/>
          <w:szCs w:val="32"/>
        </w:rPr>
        <w:t>2.资格证明文件目录</w:t>
      </w:r>
    </w:p>
    <w:p w14:paraId="1B8E4362">
      <w:pPr>
        <w:snapToGrid w:val="0"/>
        <w:spacing w:line="360" w:lineRule="auto"/>
        <w:ind w:firstLine="640"/>
        <w:rPr>
          <w:rFonts w:ascii="宋体" w:hAnsi="宋体"/>
          <w:sz w:val="32"/>
          <w:szCs w:val="32"/>
        </w:rPr>
      </w:pPr>
      <w:r>
        <w:rPr>
          <w:rFonts w:hint="eastAsia" w:ascii="宋体" w:hAnsi="宋体"/>
          <w:sz w:val="32"/>
          <w:szCs w:val="32"/>
        </w:rPr>
        <w:t>根据报价文件规定及报价人提供的材料自行编写目录（部分格式后附）。</w:t>
      </w:r>
    </w:p>
    <w:p w14:paraId="423F33BF">
      <w:pPr>
        <w:pStyle w:val="7"/>
        <w:rPr>
          <w:sz w:val="24"/>
          <w:szCs w:val="24"/>
        </w:rPr>
      </w:pPr>
    </w:p>
    <w:p w14:paraId="104E28E9">
      <w:pPr>
        <w:pStyle w:val="7"/>
        <w:rPr>
          <w:sz w:val="24"/>
          <w:szCs w:val="24"/>
        </w:rPr>
      </w:pPr>
    </w:p>
    <w:p w14:paraId="6DFC3D17">
      <w:pPr>
        <w:pStyle w:val="7"/>
        <w:rPr>
          <w:sz w:val="24"/>
          <w:szCs w:val="24"/>
        </w:rPr>
      </w:pPr>
    </w:p>
    <w:p w14:paraId="6C6BA235">
      <w:pPr>
        <w:pStyle w:val="7"/>
        <w:rPr>
          <w:sz w:val="24"/>
          <w:szCs w:val="24"/>
        </w:rPr>
      </w:pPr>
    </w:p>
    <w:p w14:paraId="5CD97640">
      <w:pPr>
        <w:pStyle w:val="7"/>
        <w:rPr>
          <w:sz w:val="24"/>
          <w:szCs w:val="24"/>
        </w:rPr>
      </w:pPr>
    </w:p>
    <w:p w14:paraId="06143FD8">
      <w:pPr>
        <w:pStyle w:val="7"/>
        <w:rPr>
          <w:sz w:val="24"/>
          <w:szCs w:val="24"/>
        </w:rPr>
      </w:pPr>
    </w:p>
    <w:p w14:paraId="4D0B5893">
      <w:pPr>
        <w:pStyle w:val="7"/>
        <w:rPr>
          <w:sz w:val="24"/>
          <w:szCs w:val="24"/>
        </w:rPr>
      </w:pPr>
    </w:p>
    <w:p w14:paraId="1771D750">
      <w:pPr>
        <w:pStyle w:val="7"/>
        <w:rPr>
          <w:sz w:val="24"/>
          <w:szCs w:val="24"/>
        </w:rPr>
      </w:pPr>
    </w:p>
    <w:p w14:paraId="194A9E8B">
      <w:pPr>
        <w:pStyle w:val="7"/>
        <w:rPr>
          <w:sz w:val="24"/>
          <w:szCs w:val="24"/>
        </w:rPr>
      </w:pPr>
    </w:p>
    <w:p w14:paraId="7C13A348">
      <w:pPr>
        <w:pStyle w:val="7"/>
        <w:rPr>
          <w:sz w:val="24"/>
          <w:szCs w:val="24"/>
        </w:rPr>
      </w:pPr>
    </w:p>
    <w:p w14:paraId="234CF384">
      <w:pPr>
        <w:pStyle w:val="7"/>
        <w:rPr>
          <w:sz w:val="24"/>
          <w:szCs w:val="24"/>
        </w:rPr>
      </w:pPr>
    </w:p>
    <w:p w14:paraId="5925F701">
      <w:pPr>
        <w:pStyle w:val="7"/>
        <w:rPr>
          <w:sz w:val="24"/>
          <w:szCs w:val="24"/>
        </w:rPr>
      </w:pPr>
    </w:p>
    <w:p w14:paraId="552CFC52">
      <w:pPr>
        <w:pStyle w:val="7"/>
        <w:rPr>
          <w:sz w:val="24"/>
          <w:szCs w:val="24"/>
        </w:rPr>
      </w:pPr>
    </w:p>
    <w:p w14:paraId="6BEF4C5C">
      <w:pPr>
        <w:pStyle w:val="7"/>
        <w:rPr>
          <w:sz w:val="24"/>
          <w:szCs w:val="24"/>
        </w:rPr>
      </w:pPr>
    </w:p>
    <w:p w14:paraId="67DA8AC9">
      <w:pPr>
        <w:pStyle w:val="7"/>
        <w:rPr>
          <w:sz w:val="24"/>
          <w:szCs w:val="24"/>
        </w:rPr>
      </w:pPr>
    </w:p>
    <w:p w14:paraId="5A4810C3">
      <w:pPr>
        <w:pStyle w:val="7"/>
        <w:rPr>
          <w:sz w:val="24"/>
          <w:szCs w:val="24"/>
        </w:rPr>
      </w:pPr>
    </w:p>
    <w:p w14:paraId="12D0D3DC">
      <w:pPr>
        <w:pStyle w:val="7"/>
        <w:rPr>
          <w:sz w:val="24"/>
          <w:szCs w:val="24"/>
        </w:rPr>
      </w:pPr>
    </w:p>
    <w:p w14:paraId="7AC96D58">
      <w:pPr>
        <w:pStyle w:val="7"/>
        <w:rPr>
          <w:sz w:val="24"/>
          <w:szCs w:val="24"/>
        </w:rPr>
      </w:pPr>
    </w:p>
    <w:p w14:paraId="438803F8">
      <w:pPr>
        <w:pStyle w:val="7"/>
        <w:rPr>
          <w:sz w:val="24"/>
          <w:szCs w:val="24"/>
        </w:rPr>
      </w:pPr>
    </w:p>
    <w:p w14:paraId="38EFBF24">
      <w:pPr>
        <w:pStyle w:val="7"/>
        <w:rPr>
          <w:sz w:val="24"/>
          <w:szCs w:val="24"/>
        </w:rPr>
      </w:pPr>
    </w:p>
    <w:p w14:paraId="5E18787D">
      <w:pPr>
        <w:pStyle w:val="7"/>
        <w:rPr>
          <w:sz w:val="24"/>
          <w:szCs w:val="24"/>
        </w:rPr>
      </w:pPr>
    </w:p>
    <w:p w14:paraId="50F62FAD">
      <w:pPr>
        <w:pStyle w:val="7"/>
        <w:rPr>
          <w:sz w:val="24"/>
          <w:szCs w:val="24"/>
        </w:rPr>
      </w:pPr>
    </w:p>
    <w:p w14:paraId="7C0A8F47">
      <w:pPr>
        <w:pStyle w:val="7"/>
        <w:rPr>
          <w:sz w:val="24"/>
          <w:szCs w:val="24"/>
        </w:rPr>
      </w:pPr>
    </w:p>
    <w:p w14:paraId="5DBAFC46">
      <w:pPr>
        <w:pStyle w:val="7"/>
        <w:rPr>
          <w:sz w:val="24"/>
          <w:szCs w:val="24"/>
        </w:rPr>
      </w:pPr>
    </w:p>
    <w:p w14:paraId="4AD066AC">
      <w:pPr>
        <w:pStyle w:val="7"/>
        <w:rPr>
          <w:sz w:val="24"/>
          <w:szCs w:val="24"/>
        </w:rPr>
      </w:pPr>
    </w:p>
    <w:p w14:paraId="30C0275E">
      <w:pPr>
        <w:pStyle w:val="7"/>
        <w:rPr>
          <w:sz w:val="24"/>
          <w:szCs w:val="24"/>
        </w:rPr>
      </w:pPr>
    </w:p>
    <w:p w14:paraId="1C14FF84">
      <w:pPr>
        <w:pStyle w:val="7"/>
        <w:rPr>
          <w:sz w:val="24"/>
          <w:szCs w:val="24"/>
        </w:rPr>
      </w:pPr>
    </w:p>
    <w:p w14:paraId="1F6862F8">
      <w:pPr>
        <w:pStyle w:val="7"/>
        <w:rPr>
          <w:sz w:val="24"/>
          <w:szCs w:val="24"/>
        </w:rPr>
      </w:pPr>
    </w:p>
    <w:p w14:paraId="3A8300A8">
      <w:pPr>
        <w:pStyle w:val="7"/>
        <w:rPr>
          <w:sz w:val="24"/>
          <w:szCs w:val="24"/>
        </w:rPr>
      </w:pPr>
    </w:p>
    <w:p w14:paraId="1E57EC9F">
      <w:pPr>
        <w:pStyle w:val="7"/>
        <w:rPr>
          <w:sz w:val="24"/>
          <w:szCs w:val="24"/>
        </w:rPr>
      </w:pPr>
    </w:p>
    <w:p w14:paraId="523C7935">
      <w:pPr>
        <w:pStyle w:val="7"/>
        <w:rPr>
          <w:sz w:val="24"/>
          <w:szCs w:val="24"/>
        </w:rPr>
      </w:pPr>
    </w:p>
    <w:p w14:paraId="20805CD2">
      <w:pPr>
        <w:pStyle w:val="7"/>
        <w:rPr>
          <w:sz w:val="24"/>
          <w:szCs w:val="24"/>
        </w:rPr>
      </w:pPr>
    </w:p>
    <w:p w14:paraId="77464BFD">
      <w:pPr>
        <w:pStyle w:val="7"/>
        <w:rPr>
          <w:sz w:val="24"/>
          <w:szCs w:val="24"/>
        </w:rPr>
      </w:pPr>
    </w:p>
    <w:p w14:paraId="7C0DA5B1">
      <w:pPr>
        <w:jc w:val="left"/>
        <w:outlineLvl w:val="1"/>
        <w:rPr>
          <w:rFonts w:ascii="仿宋" w:hAnsi="仿宋" w:eastAsia="仿宋" w:cs="Times New Roman"/>
          <w:b/>
          <w:sz w:val="36"/>
          <w:szCs w:val="21"/>
        </w:rPr>
      </w:pPr>
      <w:r>
        <w:rPr>
          <w:rFonts w:hint="eastAsia" w:ascii="仿宋" w:hAnsi="仿宋" w:eastAsia="仿宋" w:cs="Times New Roman"/>
          <w:b/>
          <w:sz w:val="32"/>
          <w:szCs w:val="32"/>
        </w:rPr>
        <w:t>3.</w:t>
      </w:r>
      <w:r>
        <w:rPr>
          <w:rFonts w:hint="eastAsia"/>
          <w:sz w:val="32"/>
          <w:szCs w:val="32"/>
        </w:rPr>
        <w:t xml:space="preserve"> </w:t>
      </w:r>
      <w:r>
        <w:rPr>
          <w:rFonts w:hint="eastAsia" w:ascii="仿宋" w:hAnsi="仿宋" w:eastAsia="仿宋" w:cs="Times New Roman"/>
          <w:b/>
          <w:sz w:val="36"/>
          <w:szCs w:val="21"/>
        </w:rPr>
        <w:t>报价人声明格式</w:t>
      </w:r>
    </w:p>
    <w:p w14:paraId="21C1FC56">
      <w:pPr>
        <w:snapToGrid w:val="0"/>
        <w:spacing w:before="312" w:beforeLines="100" w:after="312" w:afterLines="100" w:line="360" w:lineRule="auto"/>
        <w:jc w:val="center"/>
        <w:rPr>
          <w:rFonts w:ascii="宋体" w:hAnsi="Times New Roman" w:eastAsia="仿宋" w:cs="Times New Roman"/>
          <w:b/>
          <w:sz w:val="36"/>
          <w:szCs w:val="36"/>
        </w:rPr>
      </w:pPr>
      <w:r>
        <w:rPr>
          <w:rFonts w:hint="eastAsia" w:ascii="宋体" w:hAnsi="Times New Roman" w:eastAsia="仿宋" w:cs="Times New Roman"/>
          <w:b/>
          <w:sz w:val="36"/>
          <w:szCs w:val="36"/>
        </w:rPr>
        <w:t>报价声明</w:t>
      </w:r>
    </w:p>
    <w:p w14:paraId="6D3EDE01">
      <w:pPr>
        <w:snapToGrid w:val="0"/>
        <w:spacing w:line="480" w:lineRule="exact"/>
        <w:jc w:val="left"/>
        <w:rPr>
          <w:rFonts w:ascii="仿宋" w:hAnsi="仿宋" w:eastAsia="仿宋" w:cs="Times New Roman"/>
          <w:b/>
          <w:bCs/>
          <w:sz w:val="28"/>
          <w:szCs w:val="28"/>
        </w:rPr>
      </w:pPr>
      <w:r>
        <w:rPr>
          <w:rFonts w:hint="eastAsia" w:ascii="仿宋" w:hAnsi="仿宋" w:eastAsia="仿宋" w:cs="Times New Roman"/>
          <w:b/>
          <w:bCs/>
          <w:sz w:val="28"/>
          <w:szCs w:val="28"/>
        </w:rPr>
        <w:t>致：</w:t>
      </w:r>
      <w:r>
        <w:rPr>
          <w:rFonts w:hint="eastAsia" w:ascii="仿宋" w:hAnsi="仿宋" w:eastAsia="仿宋" w:cs="Times New Roman"/>
          <w:b/>
          <w:bCs/>
          <w:sz w:val="28"/>
          <w:szCs w:val="28"/>
          <w:u w:val="single"/>
        </w:rPr>
        <w:t xml:space="preserve">                      </w:t>
      </w:r>
    </w:p>
    <w:p w14:paraId="7AFD420B">
      <w:pPr>
        <w:spacing w:line="480" w:lineRule="exact"/>
        <w:ind w:firstLine="610" w:firstLineChars="218"/>
        <w:contextualSpacing/>
        <w:jc w:val="left"/>
        <w:rPr>
          <w:rFonts w:ascii="仿宋" w:hAnsi="仿宋" w:eastAsia="仿宋" w:cs="Times New Roman"/>
          <w:sz w:val="28"/>
          <w:szCs w:val="28"/>
        </w:rPr>
      </w:pPr>
      <w:r>
        <w:rPr>
          <w:rFonts w:hint="eastAsia" w:ascii="仿宋" w:hAnsi="仿宋" w:eastAsia="仿宋" w:cs="Times New Roman"/>
          <w:sz w:val="28"/>
          <w:szCs w:val="28"/>
        </w:rPr>
        <w:t>我方参加贵单位组织</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项目的采购活动。我方在此郑重声明：</w:t>
      </w:r>
    </w:p>
    <w:p w14:paraId="63122518">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5D2A1FF">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2.我方不是为本次采购项目提供整体设计、规范编制或者项目管理、监理、检测等服务的供应商。</w:t>
      </w:r>
    </w:p>
    <w:p w14:paraId="2672B87B">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3.我方承诺符合《中华人民共和国政府采购法》第二十二条规定：</w:t>
      </w:r>
    </w:p>
    <w:p w14:paraId="18F52516">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（一）具有独立承担民事责任的能力；</w:t>
      </w:r>
    </w:p>
    <w:p w14:paraId="3FA37390">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（二）具有良好的商业信誉和健全的财务会计制度；</w:t>
      </w:r>
    </w:p>
    <w:p w14:paraId="1256B8DD">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（三）具有履行合同所必需的设备和专业技术能力；</w:t>
      </w:r>
    </w:p>
    <w:p w14:paraId="33DD0E6A">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（四）有依法缴纳税收和社会保障资金的良好记录；</w:t>
      </w:r>
    </w:p>
    <w:p w14:paraId="6F056C05">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（五）参加政府采购活动前三年内，在经营活动中没有重大违法记录；</w:t>
      </w:r>
    </w:p>
    <w:p w14:paraId="79BC39A9">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（六）未被列入失信被执行人、重大税收违法失信主体、政府采购严重违法失信行为记录名单；</w:t>
      </w:r>
    </w:p>
    <w:p w14:paraId="36A032BB">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（七）法律、行政法规规定的其他条件。</w:t>
      </w:r>
    </w:p>
    <w:p w14:paraId="239B714F">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125692A9">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1B9AF3A3">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669BDD91">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在五日内全部更换为全新原厂正品，并按合同总价的20%处以罚款，且承担由此引发的全部法律责任；情节严重者列入贵校招投标失信黑名单，2年内不能参加贵校的各类采购投标；</w:t>
      </w:r>
    </w:p>
    <w:p w14:paraId="42C6D3EC">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7.我方声明参加贵校采购项目公平竞争，不存在围标、串标、恶意低价竞争等违法行为，否则自愿承担取消资格、赔偿损失等后果。</w:t>
      </w:r>
    </w:p>
    <w:p w14:paraId="6DEEBB7A">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2BE3A063">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9.以上事项如有虚假或者隐瞒，我方愿意承担一切后果，并不再寻求任何旨在减轻或者免除法律责任的辩解。    特此承诺。</w:t>
      </w:r>
    </w:p>
    <w:p w14:paraId="1E768779">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29457812">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法定代表人或委托代理人(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p>
    <w:p w14:paraId="5D407FD0">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0022062F">
      <w:pPr>
        <w:jc w:val="left"/>
        <w:outlineLvl w:val="1"/>
        <w:rPr>
          <w:rFonts w:ascii="仿宋" w:hAnsi="仿宋" w:eastAsia="仿宋" w:cs="Times New Roman"/>
          <w:b/>
          <w:sz w:val="36"/>
          <w:szCs w:val="21"/>
        </w:rPr>
      </w:pPr>
    </w:p>
    <w:p w14:paraId="3217FA86">
      <w:pPr>
        <w:spacing w:line="360" w:lineRule="auto"/>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b/>
          <w:sz w:val="24"/>
          <w:szCs w:val="24"/>
        </w:rPr>
        <w:t>注：报价人的报价声明必须由法定代表人或委托代理人在规定签章处签字并加盖报价人公章，否则响应文件按无效响应处理。</w:t>
      </w:r>
    </w:p>
    <w:p w14:paraId="61F8F00E">
      <w:pPr>
        <w:jc w:val="left"/>
        <w:outlineLvl w:val="1"/>
        <w:rPr>
          <w:rFonts w:ascii="仿宋" w:hAnsi="仿宋" w:eastAsia="仿宋" w:cs="Times New Roman"/>
          <w:b/>
          <w:sz w:val="36"/>
          <w:szCs w:val="21"/>
        </w:rPr>
      </w:pPr>
    </w:p>
    <w:p w14:paraId="2C55C081">
      <w:pPr>
        <w:jc w:val="left"/>
        <w:outlineLvl w:val="1"/>
        <w:rPr>
          <w:rFonts w:ascii="仿宋" w:hAnsi="仿宋" w:eastAsia="仿宋" w:cs="Times New Roman"/>
          <w:b/>
          <w:sz w:val="36"/>
          <w:szCs w:val="21"/>
        </w:rPr>
      </w:pPr>
    </w:p>
    <w:p w14:paraId="3A0A8131">
      <w:pPr>
        <w:jc w:val="left"/>
        <w:outlineLvl w:val="1"/>
        <w:rPr>
          <w:rFonts w:ascii="仿宋" w:hAnsi="仿宋" w:eastAsia="仿宋" w:cs="Times New Roman"/>
          <w:b/>
          <w:sz w:val="36"/>
          <w:szCs w:val="21"/>
        </w:rPr>
      </w:pPr>
    </w:p>
    <w:p w14:paraId="7216DD04">
      <w:pPr>
        <w:jc w:val="left"/>
        <w:outlineLvl w:val="1"/>
        <w:rPr>
          <w:rFonts w:ascii="仿宋" w:hAnsi="仿宋" w:eastAsia="仿宋" w:cs="Times New Roman"/>
          <w:b/>
          <w:sz w:val="36"/>
          <w:szCs w:val="21"/>
        </w:rPr>
      </w:pPr>
    </w:p>
    <w:p w14:paraId="250E76F4">
      <w:pPr>
        <w:jc w:val="left"/>
        <w:outlineLvl w:val="1"/>
        <w:rPr>
          <w:sz w:val="32"/>
          <w:szCs w:val="32"/>
        </w:rPr>
      </w:pPr>
    </w:p>
    <w:p w14:paraId="6D9A7F2F">
      <w:pPr>
        <w:jc w:val="left"/>
        <w:outlineLvl w:val="1"/>
        <w:rPr>
          <w:sz w:val="32"/>
          <w:szCs w:val="32"/>
        </w:rPr>
      </w:pPr>
    </w:p>
    <w:p w14:paraId="1FD6A88F">
      <w:pPr>
        <w:jc w:val="left"/>
        <w:outlineLvl w:val="1"/>
        <w:rPr>
          <w:sz w:val="32"/>
          <w:szCs w:val="32"/>
        </w:rPr>
      </w:pPr>
    </w:p>
    <w:p w14:paraId="481BB08E">
      <w:pPr>
        <w:jc w:val="left"/>
        <w:outlineLvl w:val="1"/>
        <w:rPr>
          <w:sz w:val="32"/>
          <w:szCs w:val="32"/>
        </w:rPr>
      </w:pPr>
    </w:p>
    <w:p w14:paraId="62CBEE87">
      <w:pPr>
        <w:jc w:val="left"/>
        <w:outlineLvl w:val="1"/>
        <w:rPr>
          <w:rFonts w:ascii="仿宋" w:hAnsi="仿宋" w:eastAsia="仿宋" w:cs="Times New Roman"/>
          <w:b/>
          <w:sz w:val="32"/>
          <w:szCs w:val="32"/>
        </w:rPr>
      </w:pPr>
    </w:p>
    <w:p w14:paraId="52E8417B">
      <w:pPr>
        <w:jc w:val="left"/>
        <w:outlineLvl w:val="1"/>
        <w:rPr>
          <w:rFonts w:ascii="仿宋" w:hAnsi="仿宋" w:eastAsia="仿宋" w:cs="Times New Roman"/>
          <w:b/>
          <w:sz w:val="32"/>
          <w:szCs w:val="32"/>
        </w:rPr>
      </w:pPr>
    </w:p>
    <w:p w14:paraId="7299D7E1">
      <w:pPr>
        <w:jc w:val="left"/>
        <w:outlineLvl w:val="1"/>
        <w:rPr>
          <w:rFonts w:ascii="仿宋" w:hAnsi="仿宋" w:eastAsia="仿宋" w:cs="Times New Roman"/>
          <w:b/>
          <w:sz w:val="32"/>
          <w:szCs w:val="32"/>
        </w:rPr>
      </w:pPr>
    </w:p>
    <w:p w14:paraId="1654F867">
      <w:pPr>
        <w:jc w:val="left"/>
        <w:outlineLvl w:val="1"/>
        <w:rPr>
          <w:rFonts w:ascii="仿宋" w:hAnsi="仿宋" w:eastAsia="仿宋" w:cs="Times New Roman"/>
          <w:b/>
          <w:sz w:val="32"/>
          <w:szCs w:val="32"/>
        </w:rPr>
      </w:pPr>
      <w:r>
        <w:rPr>
          <w:rFonts w:hint="eastAsia" w:ascii="仿宋" w:hAnsi="仿宋" w:eastAsia="仿宋" w:cs="Times New Roman"/>
          <w:b/>
          <w:sz w:val="32"/>
          <w:szCs w:val="32"/>
        </w:rPr>
        <w:t>4.无围标串标行为的承诺格式</w:t>
      </w:r>
    </w:p>
    <w:p w14:paraId="15694F5A">
      <w:pPr>
        <w:snapToGrid w:val="0"/>
        <w:spacing w:before="312" w:beforeLines="100" w:after="312" w:afterLines="100" w:line="360" w:lineRule="auto"/>
        <w:jc w:val="center"/>
        <w:rPr>
          <w:b/>
          <w:sz w:val="32"/>
          <w:szCs w:val="32"/>
        </w:rPr>
      </w:pPr>
      <w:r>
        <w:rPr>
          <w:rFonts w:hint="eastAsia"/>
          <w:b/>
          <w:sz w:val="32"/>
          <w:szCs w:val="32"/>
        </w:rPr>
        <w:t>无围标串标行为的承诺函</w:t>
      </w:r>
    </w:p>
    <w:p w14:paraId="6FF6B1C5">
      <w:pPr>
        <w:spacing w:line="360" w:lineRule="auto"/>
        <w:contextualSpacing/>
        <w:rPr>
          <w:rFonts w:ascii="仿宋" w:hAnsi="仿宋"/>
          <w:b/>
          <w:sz w:val="28"/>
          <w:szCs w:val="30"/>
        </w:rPr>
      </w:pPr>
      <w:r>
        <w:rPr>
          <w:rFonts w:hint="eastAsia" w:ascii="仿宋" w:hAnsi="仿宋"/>
          <w:b/>
          <w:sz w:val="28"/>
          <w:szCs w:val="30"/>
        </w:rPr>
        <w:t>一、我方承诺无下列相互串通投标的情形：</w:t>
      </w:r>
    </w:p>
    <w:p w14:paraId="64F7A33C">
      <w:pPr>
        <w:spacing w:line="360" w:lineRule="auto"/>
        <w:ind w:firstLine="548" w:firstLineChars="196"/>
        <w:contextualSpacing/>
        <w:rPr>
          <w:rFonts w:ascii="仿宋" w:hAnsi="仿宋"/>
          <w:sz w:val="28"/>
          <w:szCs w:val="30"/>
        </w:rPr>
      </w:pPr>
      <w:r>
        <w:rPr>
          <w:rFonts w:hint="eastAsia" w:ascii="仿宋" w:hAnsi="仿宋"/>
          <w:sz w:val="28"/>
          <w:szCs w:val="30"/>
        </w:rPr>
        <w:t xml:space="preserve">1.不同报价人的投标文件由同一单位或者个人编制； </w:t>
      </w:r>
    </w:p>
    <w:p w14:paraId="2806931F">
      <w:pPr>
        <w:spacing w:line="360" w:lineRule="auto"/>
        <w:ind w:firstLine="548" w:firstLineChars="196"/>
        <w:contextualSpacing/>
        <w:rPr>
          <w:rFonts w:ascii="仿宋" w:hAnsi="仿宋"/>
          <w:sz w:val="28"/>
          <w:szCs w:val="30"/>
        </w:rPr>
      </w:pPr>
      <w:r>
        <w:rPr>
          <w:rFonts w:hint="eastAsia" w:ascii="仿宋" w:hAnsi="仿宋"/>
          <w:sz w:val="28"/>
          <w:szCs w:val="30"/>
        </w:rPr>
        <w:t>2.不同报价人委托同一单位或者个人办理投标事宜；</w:t>
      </w:r>
    </w:p>
    <w:p w14:paraId="2C92B4F4">
      <w:pPr>
        <w:spacing w:line="360" w:lineRule="auto"/>
        <w:ind w:firstLine="548" w:firstLineChars="196"/>
        <w:contextualSpacing/>
        <w:rPr>
          <w:rFonts w:ascii="仿宋" w:hAnsi="仿宋"/>
          <w:sz w:val="28"/>
          <w:szCs w:val="30"/>
        </w:rPr>
      </w:pPr>
      <w:r>
        <w:rPr>
          <w:rFonts w:hint="eastAsia" w:ascii="仿宋" w:hAnsi="仿宋"/>
          <w:sz w:val="28"/>
          <w:szCs w:val="30"/>
        </w:rPr>
        <w:t>3.不同报价人的报价文件载明的项目管理员为同一个人；</w:t>
      </w:r>
    </w:p>
    <w:p w14:paraId="732FC32A">
      <w:pPr>
        <w:spacing w:line="360" w:lineRule="auto"/>
        <w:ind w:firstLine="548" w:firstLineChars="196"/>
        <w:contextualSpacing/>
        <w:rPr>
          <w:rFonts w:ascii="仿宋" w:hAnsi="仿宋"/>
          <w:sz w:val="28"/>
          <w:szCs w:val="30"/>
        </w:rPr>
      </w:pPr>
      <w:r>
        <w:rPr>
          <w:rFonts w:hint="eastAsia" w:ascii="仿宋" w:hAnsi="仿宋"/>
          <w:sz w:val="28"/>
          <w:szCs w:val="30"/>
        </w:rPr>
        <w:t>4.不同报价人的报价文件异常一致或者投标报价呈规律性差异；</w:t>
      </w:r>
    </w:p>
    <w:p w14:paraId="32536EC8">
      <w:pPr>
        <w:spacing w:line="360" w:lineRule="auto"/>
        <w:ind w:firstLine="548" w:firstLineChars="196"/>
        <w:contextualSpacing/>
        <w:rPr>
          <w:rFonts w:ascii="仿宋" w:hAnsi="仿宋"/>
          <w:sz w:val="28"/>
          <w:szCs w:val="30"/>
        </w:rPr>
      </w:pPr>
      <w:r>
        <w:rPr>
          <w:rFonts w:hint="eastAsia" w:ascii="仿宋" w:hAnsi="仿宋"/>
          <w:sz w:val="28"/>
          <w:szCs w:val="30"/>
        </w:rPr>
        <w:t>5.不同报价人的报价文件相互混装；</w:t>
      </w:r>
    </w:p>
    <w:p w14:paraId="4EA96339">
      <w:pPr>
        <w:spacing w:line="360" w:lineRule="auto"/>
        <w:contextualSpacing/>
        <w:rPr>
          <w:rFonts w:ascii="仿宋" w:hAnsi="仿宋"/>
          <w:sz w:val="28"/>
          <w:szCs w:val="30"/>
        </w:rPr>
      </w:pPr>
      <w:r>
        <w:rPr>
          <w:rFonts w:hint="eastAsia" w:ascii="仿宋" w:hAnsi="仿宋"/>
          <w:b/>
          <w:sz w:val="28"/>
          <w:szCs w:val="30"/>
        </w:rPr>
        <w:t>二、我方承诺无下列恶意串通的情形：</w:t>
      </w:r>
    </w:p>
    <w:p w14:paraId="2F9E0551">
      <w:pPr>
        <w:spacing w:line="360" w:lineRule="auto"/>
        <w:ind w:firstLine="548" w:firstLineChars="196"/>
        <w:contextualSpacing/>
        <w:rPr>
          <w:rFonts w:ascii="仿宋" w:hAnsi="仿宋"/>
          <w:sz w:val="28"/>
          <w:szCs w:val="30"/>
        </w:rPr>
      </w:pPr>
      <w:r>
        <w:rPr>
          <w:rFonts w:hint="eastAsia" w:ascii="仿宋" w:hAnsi="仿宋"/>
          <w:sz w:val="28"/>
          <w:szCs w:val="30"/>
        </w:rPr>
        <w:t>1.报价人直接或者间接从采购人处获得其他报价人的相关信息并修改其报价文件或者响应文件；</w:t>
      </w:r>
    </w:p>
    <w:p w14:paraId="5CDDC4A0">
      <w:pPr>
        <w:spacing w:line="360" w:lineRule="auto"/>
        <w:ind w:firstLine="548" w:firstLineChars="196"/>
        <w:contextualSpacing/>
        <w:rPr>
          <w:rFonts w:ascii="仿宋" w:hAnsi="仿宋"/>
          <w:sz w:val="28"/>
          <w:szCs w:val="30"/>
        </w:rPr>
      </w:pPr>
      <w:r>
        <w:rPr>
          <w:rFonts w:hint="eastAsia" w:ascii="仿宋" w:hAnsi="仿宋"/>
          <w:sz w:val="28"/>
          <w:szCs w:val="30"/>
        </w:rPr>
        <w:t>2.报价人按照采购人的授意撤换、修改报价文件或者响应文件；</w:t>
      </w:r>
    </w:p>
    <w:p w14:paraId="3F1C1D93">
      <w:pPr>
        <w:spacing w:line="360" w:lineRule="auto"/>
        <w:ind w:firstLine="548" w:firstLineChars="196"/>
        <w:contextualSpacing/>
        <w:rPr>
          <w:rFonts w:ascii="仿宋" w:hAnsi="仿宋"/>
          <w:sz w:val="28"/>
          <w:szCs w:val="30"/>
        </w:rPr>
      </w:pPr>
      <w:r>
        <w:rPr>
          <w:rFonts w:hint="eastAsia" w:ascii="仿宋" w:hAnsi="仿宋"/>
          <w:sz w:val="28"/>
          <w:szCs w:val="30"/>
        </w:rPr>
        <w:t>3.报价人之间协商报价、技术方案等报价文件或者响应文件的实质性内容；</w:t>
      </w:r>
    </w:p>
    <w:p w14:paraId="649A9BD6">
      <w:pPr>
        <w:spacing w:line="360" w:lineRule="auto"/>
        <w:ind w:firstLine="548" w:firstLineChars="196"/>
        <w:contextualSpacing/>
        <w:rPr>
          <w:rFonts w:ascii="仿宋" w:hAnsi="仿宋"/>
          <w:sz w:val="28"/>
          <w:szCs w:val="30"/>
        </w:rPr>
      </w:pPr>
      <w:r>
        <w:rPr>
          <w:rFonts w:hint="eastAsia" w:ascii="仿宋" w:hAnsi="仿宋"/>
          <w:sz w:val="28"/>
          <w:szCs w:val="30"/>
        </w:rPr>
        <w:t>4.属于同一集团、协会、商会等组织成员的报价人按照该组织要求协同参加采购活动；</w:t>
      </w:r>
    </w:p>
    <w:p w14:paraId="1C7A610F">
      <w:pPr>
        <w:spacing w:line="360" w:lineRule="auto"/>
        <w:ind w:firstLine="548" w:firstLineChars="196"/>
        <w:contextualSpacing/>
        <w:rPr>
          <w:rFonts w:ascii="仿宋" w:hAnsi="仿宋"/>
          <w:sz w:val="28"/>
          <w:szCs w:val="30"/>
        </w:rPr>
      </w:pPr>
      <w:r>
        <w:rPr>
          <w:rFonts w:hint="eastAsia" w:ascii="仿宋" w:hAnsi="仿宋"/>
          <w:sz w:val="28"/>
          <w:szCs w:val="30"/>
        </w:rPr>
        <w:t>5.报价人之间事先约定一致抬高或者压低报价报价，或者在报价项目中事先约定轮流以高价位或者低价位中标，或者事先约定由某一特定报价人中标，然后再参加报价；</w:t>
      </w:r>
    </w:p>
    <w:p w14:paraId="47EE71C2">
      <w:pPr>
        <w:spacing w:line="360" w:lineRule="auto"/>
        <w:ind w:firstLine="548" w:firstLineChars="196"/>
        <w:contextualSpacing/>
        <w:rPr>
          <w:rFonts w:ascii="仿宋" w:hAnsi="仿宋"/>
          <w:sz w:val="28"/>
          <w:szCs w:val="30"/>
        </w:rPr>
      </w:pPr>
      <w:r>
        <w:rPr>
          <w:rFonts w:hint="eastAsia" w:ascii="仿宋" w:hAnsi="仿宋"/>
          <w:sz w:val="28"/>
          <w:szCs w:val="30"/>
        </w:rPr>
        <w:t>6.报价人之间商定部分报价人放弃参加采购活动或者放弃中标；</w:t>
      </w:r>
    </w:p>
    <w:p w14:paraId="4037AAB8">
      <w:pPr>
        <w:spacing w:line="360" w:lineRule="auto"/>
        <w:ind w:firstLine="548" w:firstLineChars="196"/>
        <w:contextualSpacing/>
        <w:rPr>
          <w:rFonts w:ascii="仿宋" w:hAnsi="仿宋"/>
          <w:sz w:val="28"/>
          <w:szCs w:val="30"/>
        </w:rPr>
      </w:pPr>
      <w:r>
        <w:rPr>
          <w:rFonts w:hint="eastAsia" w:ascii="仿宋" w:hAnsi="仿宋"/>
          <w:sz w:val="28"/>
          <w:szCs w:val="30"/>
        </w:rPr>
        <w:t>7.报价人与采购人之间、报价人相互之间，为谋求特定报价人中标或者排斥其他报价人的其他串通行为。</w:t>
      </w:r>
    </w:p>
    <w:p w14:paraId="429DFA36">
      <w:pPr>
        <w:spacing w:line="360" w:lineRule="auto"/>
        <w:ind w:firstLine="551" w:firstLineChars="196"/>
        <w:contextualSpacing/>
        <w:rPr>
          <w:rFonts w:ascii="仿宋" w:hAnsi="仿宋"/>
          <w:b/>
          <w:sz w:val="28"/>
          <w:szCs w:val="30"/>
        </w:rPr>
      </w:pPr>
      <w:r>
        <w:rPr>
          <w:rFonts w:hint="eastAsia" w:ascii="仿宋" w:hAnsi="仿宋"/>
          <w:b/>
          <w:sz w:val="28"/>
          <w:szCs w:val="30"/>
        </w:rPr>
        <w:t>以上情形一经核查属实，我方愿意承担一切后果，并不再寻求任何旨在减轻或者免除法律责任的辩解。</w:t>
      </w:r>
    </w:p>
    <w:p w14:paraId="087C6CC3">
      <w:pPr>
        <w:pStyle w:val="8"/>
        <w:tabs>
          <w:tab w:val="left" w:pos="5529"/>
        </w:tabs>
        <w:wordWrap w:val="0"/>
        <w:spacing w:line="480" w:lineRule="auto"/>
        <w:jc w:val="right"/>
        <w:rPr>
          <w:rFonts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46FB7219">
      <w:pPr>
        <w:pStyle w:val="8"/>
        <w:tabs>
          <w:tab w:val="left" w:pos="5529"/>
        </w:tabs>
        <w:wordWrap w:val="0"/>
        <w:spacing w:line="480" w:lineRule="auto"/>
        <w:jc w:val="right"/>
        <w:rPr>
          <w:rFonts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43A781D3">
      <w:pPr>
        <w:pStyle w:val="8"/>
        <w:spacing w:line="480" w:lineRule="auto"/>
        <w:ind w:firstLine="600"/>
        <w:jc w:val="right"/>
        <w:rPr>
          <w:rFonts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46530441">
      <w:pPr>
        <w:jc w:val="left"/>
        <w:outlineLvl w:val="1"/>
        <w:rPr>
          <w:rFonts w:ascii="仿宋" w:hAnsi="仿宋" w:eastAsia="仿宋" w:cs="Times New Roman"/>
          <w:b/>
          <w:sz w:val="32"/>
          <w:szCs w:val="32"/>
        </w:rPr>
      </w:pPr>
      <w:r>
        <w:rPr>
          <w:rFonts w:hint="eastAsia" w:ascii="仿宋" w:hAnsi="仿宋" w:eastAsia="仿宋" w:cs="Times New Roman"/>
          <w:b/>
          <w:sz w:val="32"/>
          <w:szCs w:val="32"/>
        </w:rPr>
        <w:t>5.有效主体资格证明(如营业执照、事业单位法人证书、执业许可证、自然人身份证等)</w:t>
      </w:r>
    </w:p>
    <w:p w14:paraId="103FE303">
      <w:pPr>
        <w:jc w:val="left"/>
        <w:outlineLvl w:val="1"/>
        <w:rPr>
          <w:rFonts w:ascii="仿宋" w:hAnsi="仿宋" w:eastAsia="仿宋" w:cs="Times New Roman"/>
          <w:b/>
          <w:sz w:val="36"/>
          <w:szCs w:val="21"/>
        </w:rPr>
      </w:pPr>
    </w:p>
    <w:p w14:paraId="1958855C">
      <w:pPr>
        <w:jc w:val="left"/>
        <w:outlineLvl w:val="1"/>
        <w:rPr>
          <w:rFonts w:ascii="仿宋" w:hAnsi="仿宋" w:eastAsia="仿宋" w:cs="Times New Roman"/>
          <w:b/>
          <w:sz w:val="36"/>
          <w:szCs w:val="21"/>
        </w:rPr>
      </w:pPr>
    </w:p>
    <w:p w14:paraId="79754C7B">
      <w:pPr>
        <w:pStyle w:val="7"/>
      </w:pPr>
    </w:p>
    <w:p w14:paraId="24C96315">
      <w:pPr>
        <w:pStyle w:val="7"/>
      </w:pPr>
    </w:p>
    <w:p w14:paraId="7CC10187">
      <w:pPr>
        <w:pStyle w:val="7"/>
      </w:pPr>
    </w:p>
    <w:p w14:paraId="370F17FF">
      <w:pPr>
        <w:pStyle w:val="7"/>
      </w:pPr>
    </w:p>
    <w:p w14:paraId="4F49DCE2">
      <w:pPr>
        <w:pStyle w:val="7"/>
      </w:pPr>
    </w:p>
    <w:p w14:paraId="7C34005B">
      <w:pPr>
        <w:pStyle w:val="7"/>
      </w:pPr>
    </w:p>
    <w:p w14:paraId="5FFA4F5A">
      <w:pPr>
        <w:pStyle w:val="7"/>
      </w:pPr>
    </w:p>
    <w:p w14:paraId="1CDE2E9F">
      <w:pPr>
        <w:pStyle w:val="7"/>
      </w:pPr>
    </w:p>
    <w:p w14:paraId="76D15524">
      <w:pPr>
        <w:pStyle w:val="7"/>
      </w:pPr>
    </w:p>
    <w:p w14:paraId="134DBBD8">
      <w:pPr>
        <w:pStyle w:val="7"/>
      </w:pPr>
    </w:p>
    <w:p w14:paraId="67CE7340">
      <w:pPr>
        <w:pStyle w:val="7"/>
      </w:pPr>
    </w:p>
    <w:p w14:paraId="1550FC44">
      <w:pPr>
        <w:pStyle w:val="7"/>
      </w:pPr>
    </w:p>
    <w:p w14:paraId="30B538CD">
      <w:pPr>
        <w:pStyle w:val="7"/>
      </w:pPr>
    </w:p>
    <w:p w14:paraId="6CB70454">
      <w:pPr>
        <w:pStyle w:val="7"/>
      </w:pPr>
    </w:p>
    <w:p w14:paraId="1EC58313">
      <w:pPr>
        <w:pStyle w:val="7"/>
      </w:pPr>
    </w:p>
    <w:p w14:paraId="46995F7F">
      <w:pPr>
        <w:pStyle w:val="7"/>
      </w:pPr>
    </w:p>
    <w:p w14:paraId="30CE1280">
      <w:pPr>
        <w:pStyle w:val="7"/>
      </w:pPr>
    </w:p>
    <w:p w14:paraId="6CC6FFA9">
      <w:pPr>
        <w:pStyle w:val="7"/>
      </w:pPr>
    </w:p>
    <w:p w14:paraId="19034583">
      <w:pPr>
        <w:pStyle w:val="7"/>
      </w:pPr>
    </w:p>
    <w:p w14:paraId="2001A37E">
      <w:pPr>
        <w:pStyle w:val="7"/>
      </w:pPr>
    </w:p>
    <w:p w14:paraId="64B814F5">
      <w:pPr>
        <w:pStyle w:val="7"/>
      </w:pPr>
    </w:p>
    <w:p w14:paraId="05E0F8B1">
      <w:pPr>
        <w:pStyle w:val="7"/>
      </w:pPr>
    </w:p>
    <w:p w14:paraId="6754634D">
      <w:pPr>
        <w:pStyle w:val="7"/>
      </w:pPr>
    </w:p>
    <w:p w14:paraId="2BA112F2">
      <w:pPr>
        <w:pStyle w:val="7"/>
      </w:pPr>
    </w:p>
    <w:p w14:paraId="3B412973">
      <w:pPr>
        <w:pStyle w:val="7"/>
      </w:pPr>
    </w:p>
    <w:p w14:paraId="0C4ACD0C">
      <w:pPr>
        <w:pStyle w:val="7"/>
      </w:pPr>
    </w:p>
    <w:p w14:paraId="2BD0605E">
      <w:pPr>
        <w:pStyle w:val="7"/>
      </w:pPr>
    </w:p>
    <w:p w14:paraId="291EC429">
      <w:pPr>
        <w:pStyle w:val="7"/>
      </w:pPr>
    </w:p>
    <w:p w14:paraId="7AEAFC8E">
      <w:pPr>
        <w:pStyle w:val="7"/>
      </w:pPr>
    </w:p>
    <w:p w14:paraId="6ECE1708">
      <w:pPr>
        <w:pStyle w:val="7"/>
      </w:pPr>
    </w:p>
    <w:p w14:paraId="7BE08999">
      <w:pPr>
        <w:pStyle w:val="7"/>
        <w:rPr>
          <w:rFonts w:ascii="仿宋" w:hAnsi="仿宋" w:eastAsia="仿宋"/>
          <w:b/>
          <w:sz w:val="32"/>
          <w:szCs w:val="32"/>
        </w:rPr>
      </w:pPr>
      <w:r>
        <w:rPr>
          <w:rFonts w:hint="eastAsia" w:ascii="仿宋" w:hAnsi="仿宋" w:eastAsia="仿宋"/>
          <w:b/>
          <w:sz w:val="32"/>
          <w:szCs w:val="32"/>
        </w:rPr>
        <w:t>6.法定代表人身份证明</w:t>
      </w:r>
    </w:p>
    <w:p w14:paraId="51C9CC9B">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法定代表人身份证明</w:t>
      </w:r>
    </w:p>
    <w:p w14:paraId="5A528AE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7632603F">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05B210B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27D18C8E">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00B3E41">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1E95C84C">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0192341B">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73C9861D">
      <w:pPr>
        <w:spacing w:line="360" w:lineRule="auto"/>
        <w:ind w:left="540"/>
        <w:jc w:val="left"/>
        <w:rPr>
          <w:rFonts w:ascii="仿宋" w:hAnsi="仿宋" w:eastAsia="仿宋" w:cs="Times New Roman"/>
          <w:sz w:val="30"/>
          <w:szCs w:val="30"/>
        </w:rPr>
      </w:pPr>
    </w:p>
    <w:p w14:paraId="3BC27ACB">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2B787C27">
      <w:pPr>
        <w:spacing w:line="360" w:lineRule="auto"/>
        <w:ind w:left="540"/>
        <w:jc w:val="left"/>
        <w:rPr>
          <w:rFonts w:ascii="仿宋" w:hAnsi="仿宋" w:eastAsia="仿宋" w:cs="Times New Roman"/>
          <w:sz w:val="30"/>
          <w:szCs w:val="30"/>
        </w:rPr>
      </w:pPr>
    </w:p>
    <w:p w14:paraId="3F5AC042">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0A64D1DF">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50EE636A">
      <w:pPr>
        <w:pStyle w:val="7"/>
      </w:pPr>
    </w:p>
    <w:p w14:paraId="67FF2980">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1DA11FAC">
      <w:pPr>
        <w:snapToGrid w:val="0"/>
        <w:spacing w:before="156" w:beforeLines="50" w:after="50" w:line="360" w:lineRule="auto"/>
        <w:jc w:val="center"/>
        <w:rPr>
          <w:rFonts w:ascii="仿宋" w:hAnsi="仿宋" w:eastAsia="仿宋" w:cs="Times New Roman"/>
          <w:b/>
          <w:sz w:val="30"/>
          <w:szCs w:val="30"/>
        </w:rPr>
      </w:pPr>
    </w:p>
    <w:p w14:paraId="5C7A43D3">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注：自然人投标的无需提供</w:t>
      </w:r>
    </w:p>
    <w:p w14:paraId="369458DB">
      <w:pPr>
        <w:rPr>
          <w:rFonts w:ascii="仿宋" w:hAnsi="仿宋" w:eastAsia="仿宋"/>
          <w:b/>
          <w:sz w:val="32"/>
          <w:szCs w:val="32"/>
        </w:rPr>
      </w:pPr>
      <w:r>
        <w:rPr>
          <w:rFonts w:eastAsia="黑体"/>
          <w:sz w:val="24"/>
        </w:rPr>
        <w:br w:type="page"/>
      </w:r>
      <w:r>
        <w:rPr>
          <w:rFonts w:hint="eastAsia" w:ascii="仿宋" w:hAnsi="仿宋" w:eastAsia="仿宋"/>
          <w:b/>
          <w:sz w:val="32"/>
          <w:szCs w:val="32"/>
        </w:rPr>
        <w:t>7.授权委托书格式</w:t>
      </w:r>
    </w:p>
    <w:p w14:paraId="3ADDECBD">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授权委托书</w:t>
      </w:r>
    </w:p>
    <w:p w14:paraId="05DD6DA4">
      <w:pPr>
        <w:spacing w:line="500" w:lineRule="exact"/>
        <w:jc w:val="center"/>
        <w:rPr>
          <w:rFonts w:ascii="宋体" w:hAnsi="Times New Roman" w:eastAsia="仿宋" w:cs="Times New Roman"/>
          <w:sz w:val="28"/>
          <w:szCs w:val="28"/>
        </w:rPr>
      </w:pPr>
      <w:r>
        <w:rPr>
          <w:rFonts w:hint="eastAsia" w:ascii="宋体" w:hAnsi="Times New Roman" w:eastAsia="仿宋" w:cs="Times New Roman"/>
          <w:sz w:val="28"/>
          <w:szCs w:val="28"/>
        </w:rPr>
        <w:t>（如有委托时）</w:t>
      </w:r>
    </w:p>
    <w:p w14:paraId="7F42F741">
      <w:pPr>
        <w:spacing w:line="360" w:lineRule="auto"/>
        <w:contextualSpacing/>
        <w:jc w:val="left"/>
        <w:rPr>
          <w:rFonts w:ascii="仿宋" w:hAnsi="仿宋" w:eastAsia="仿宋" w:cs="Times New Roman"/>
          <w:b/>
          <w:sz w:val="28"/>
          <w:szCs w:val="28"/>
        </w:rPr>
      </w:pPr>
      <w:r>
        <w:rPr>
          <w:rFonts w:hint="eastAsia" w:ascii="仿宋" w:hAnsi="仿宋" w:eastAsia="仿宋" w:cs="Times New Roman"/>
          <w:b/>
          <w:sz w:val="28"/>
          <w:szCs w:val="28"/>
        </w:rPr>
        <w:t>致：</w:t>
      </w:r>
      <w:r>
        <w:rPr>
          <w:rFonts w:hint="eastAsia" w:ascii="仿宋" w:hAnsi="仿宋" w:eastAsia="仿宋" w:cs="Times New Roman"/>
          <w:b/>
          <w:sz w:val="28"/>
          <w:szCs w:val="28"/>
          <w:u w:val="single"/>
        </w:rPr>
        <w:t xml:space="preserve">                 </w:t>
      </w:r>
    </w:p>
    <w:p w14:paraId="25DD0024">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（姓名）系</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（报价人名称）的法定代表人，现授权委托</w:t>
      </w:r>
      <w:r>
        <w:rPr>
          <w:rFonts w:hint="eastAsia" w:ascii="仿宋" w:hAnsi="仿宋" w:eastAsia="仿宋" w:cs="Times New Roman"/>
          <w:sz w:val="28"/>
          <w:szCs w:val="28"/>
          <w:u w:val="single"/>
        </w:rPr>
        <w:t xml:space="preserve">              （姓名）</w:t>
      </w:r>
      <w:r>
        <w:rPr>
          <w:rFonts w:hint="eastAsia" w:ascii="仿宋" w:hAnsi="仿宋" w:eastAsia="仿宋" w:cs="Times New Roman"/>
          <w:sz w:val="28"/>
          <w:szCs w:val="28"/>
        </w:rPr>
        <w:t>以我方的名义参加</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项目的投标活动，并代表我方全权办理针对上述项目的所有采购程序和环节的具体事务和签署相关文件。</w:t>
      </w:r>
    </w:p>
    <w:p w14:paraId="3B7CD2AB">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我方对委托代理人的签字或者电子签名事项负全部责任。</w:t>
      </w:r>
    </w:p>
    <w:p w14:paraId="5B1DA445">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u w:val="single"/>
        </w:rPr>
        <w:t>本授权书自签署之日起生效，在撤销授权的书面通知以前，本授权书一直有效。委托代理人在授权书有效期内签署的所有文件不因授权的撤销而失效。</w:t>
      </w:r>
    </w:p>
    <w:p w14:paraId="01E57B74">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委托代理人无转委托权，特此委托。</w:t>
      </w:r>
    </w:p>
    <w:p w14:paraId="22505AAE">
      <w:pPr>
        <w:widowControl/>
        <w:spacing w:line="360" w:lineRule="auto"/>
        <w:jc w:val="left"/>
        <w:rPr>
          <w:rFonts w:ascii="仿宋" w:hAnsi="仿宋" w:eastAsia="仿宋" w:cs="Times New Roman"/>
          <w:b/>
          <w:bCs/>
          <w:sz w:val="28"/>
          <w:szCs w:val="28"/>
        </w:rPr>
      </w:pPr>
      <w:r>
        <w:rPr>
          <w:rFonts w:hint="eastAsia" w:ascii="仿宋" w:hAnsi="仿宋" w:eastAsia="仿宋" w:cs="Times New Roman"/>
          <w:b/>
          <w:bCs/>
          <w:sz w:val="28"/>
          <w:szCs w:val="28"/>
        </w:rPr>
        <w:t>附件：法定代表人身份证明书及委托代理人有效身份证正反面复印件</w:t>
      </w:r>
    </w:p>
    <w:p w14:paraId="4274D27E">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法定代表人（</w:t>
      </w:r>
      <w:r>
        <w:rPr>
          <w:rFonts w:hint="eastAsia" w:ascii="仿宋" w:hAnsi="仿宋" w:eastAsia="仿宋" w:cs="Times New Roman"/>
          <w:b/>
          <w:bCs/>
          <w:sz w:val="28"/>
          <w:szCs w:val="28"/>
        </w:rPr>
        <w:t>签字或者盖章</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p>
    <w:p w14:paraId="1A130D34">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 xml:space="preserve"> </w:t>
      </w:r>
    </w:p>
    <w:p w14:paraId="28A9B89F">
      <w:pPr>
        <w:widowControl/>
        <w:spacing w:line="360" w:lineRule="auto"/>
        <w:ind w:firstLine="560" w:firstLineChars="200"/>
        <w:jc w:val="left"/>
        <w:rPr>
          <w:rFonts w:ascii="仿宋" w:hAnsi="仿宋" w:eastAsia="仿宋" w:cs="Times New Roman"/>
          <w:sz w:val="28"/>
          <w:szCs w:val="28"/>
          <w:u w:val="single"/>
        </w:rPr>
      </w:pPr>
      <w:r>
        <w:rPr>
          <w:rFonts w:hint="eastAsia" w:ascii="仿宋" w:hAnsi="仿宋" w:eastAsia="仿宋" w:cs="Times New Roman"/>
          <w:sz w:val="28"/>
          <w:szCs w:val="28"/>
        </w:rPr>
        <w:t>委托代理人身份证号码：</w:t>
      </w:r>
      <w:r>
        <w:rPr>
          <w:rFonts w:hint="eastAsia" w:ascii="仿宋" w:hAnsi="仿宋" w:eastAsia="仿宋" w:cs="Times New Roman"/>
          <w:sz w:val="28"/>
          <w:szCs w:val="28"/>
          <w:u w:val="single"/>
        </w:rPr>
        <w:t xml:space="preserve">                       </w:t>
      </w:r>
    </w:p>
    <w:p w14:paraId="6BF4674D">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65D692AF">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4EA26E8B">
      <w:pPr>
        <w:spacing w:line="360" w:lineRule="auto"/>
        <w:contextualSpacing/>
        <w:jc w:val="left"/>
        <w:rPr>
          <w:rFonts w:ascii="仿宋" w:hAnsi="仿宋" w:eastAsia="仿宋" w:cs="仿宋_GB2312"/>
          <w:sz w:val="28"/>
          <w:szCs w:val="28"/>
        </w:rPr>
      </w:pPr>
      <w:r>
        <w:rPr>
          <w:rFonts w:hint="eastAsia" w:ascii="仿宋" w:hAnsi="仿宋" w:eastAsia="仿宋" w:cs="仿宋_GB2312"/>
          <w:sz w:val="28"/>
          <w:szCs w:val="28"/>
        </w:rPr>
        <w:t>注：</w:t>
      </w:r>
    </w:p>
    <w:p w14:paraId="1AC8DAD0">
      <w:pPr>
        <w:spacing w:line="360" w:lineRule="auto"/>
        <w:ind w:firstLine="560" w:firstLineChars="200"/>
        <w:contextualSpacing/>
        <w:jc w:val="left"/>
        <w:rPr>
          <w:rFonts w:ascii="仿宋" w:hAnsi="仿宋" w:eastAsia="仿宋" w:cs="仿宋_GB2312"/>
          <w:sz w:val="28"/>
          <w:szCs w:val="28"/>
        </w:rPr>
      </w:pPr>
      <w:r>
        <w:rPr>
          <w:rFonts w:hint="eastAsia" w:ascii="仿宋" w:hAnsi="仿宋" w:eastAsia="仿宋" w:cs="仿宋_GB2312"/>
          <w:sz w:val="28"/>
          <w:szCs w:val="28"/>
        </w:rPr>
        <w:t>1.</w:t>
      </w:r>
      <w:bookmarkStart w:id="3" w:name="_Hlk65851555"/>
      <w:bookmarkStart w:id="4" w:name="_Hlk65851620"/>
      <w:r>
        <w:rPr>
          <w:rFonts w:hint="eastAsia" w:ascii="仿宋" w:hAnsi="仿宋" w:eastAsia="仿宋" w:cs="仿宋_GB2312"/>
          <w:sz w:val="28"/>
          <w:szCs w:val="28"/>
        </w:rPr>
        <w:t>法定代表人必须在授权委托书上签字或者盖章，</w:t>
      </w:r>
      <w:bookmarkEnd w:id="3"/>
      <w:r>
        <w:rPr>
          <w:rFonts w:hint="eastAsia" w:ascii="仿宋" w:hAnsi="仿宋" w:eastAsia="仿宋" w:cs="仿宋_GB2312"/>
          <w:sz w:val="28"/>
          <w:szCs w:val="28"/>
        </w:rPr>
        <w:t>委托代理人必须在授权委托书上签字，</w:t>
      </w:r>
      <w:r>
        <w:rPr>
          <w:rFonts w:hint="eastAsia" w:ascii="仿宋" w:hAnsi="仿宋" w:eastAsia="仿宋" w:cs="仿宋_GB2312"/>
          <w:b/>
          <w:bCs/>
          <w:sz w:val="28"/>
          <w:szCs w:val="28"/>
        </w:rPr>
        <w:t>否则按无效投标处理</w:t>
      </w:r>
      <w:r>
        <w:rPr>
          <w:rFonts w:hint="eastAsia" w:ascii="仿宋" w:hAnsi="仿宋" w:eastAsia="仿宋" w:cs="仿宋_GB2312"/>
          <w:sz w:val="28"/>
          <w:szCs w:val="28"/>
        </w:rPr>
        <w:t>；</w:t>
      </w:r>
      <w:bookmarkEnd w:id="4"/>
    </w:p>
    <w:p w14:paraId="2735E20B">
      <w:pPr>
        <w:spacing w:line="360" w:lineRule="auto"/>
        <w:ind w:firstLine="560" w:firstLineChars="200"/>
        <w:contextualSpacing/>
        <w:jc w:val="left"/>
        <w:rPr>
          <w:rFonts w:ascii="宋体" w:hAnsi="Times New Roman" w:eastAsia="仿宋" w:cs="Times New Roman"/>
          <w:b/>
          <w:bCs/>
          <w:kern w:val="0"/>
          <w:sz w:val="28"/>
          <w:szCs w:val="28"/>
        </w:rPr>
      </w:pPr>
      <w:r>
        <w:rPr>
          <w:rFonts w:hint="eastAsia" w:ascii="仿宋" w:hAnsi="仿宋" w:eastAsia="仿宋" w:cs="仿宋_GB2312"/>
          <w:sz w:val="28"/>
          <w:szCs w:val="28"/>
        </w:rPr>
        <w:t>2.法人、其他组织投标时“我方”是指“我单位”，自然人投标时“我方”是指“本人”。</w:t>
      </w:r>
    </w:p>
    <w:p w14:paraId="19AF4313">
      <w:pPr>
        <w:pStyle w:val="7"/>
        <w:rPr>
          <w:sz w:val="28"/>
          <w:szCs w:val="28"/>
        </w:rPr>
      </w:pPr>
    </w:p>
    <w:p w14:paraId="39BA027D">
      <w:pPr>
        <w:jc w:val="left"/>
        <w:outlineLvl w:val="1"/>
        <w:rPr>
          <w:rFonts w:ascii="仿宋" w:hAnsi="仿宋" w:eastAsia="仿宋" w:cs="Times New Roman"/>
          <w:b/>
          <w:sz w:val="36"/>
          <w:szCs w:val="21"/>
        </w:rPr>
      </w:pPr>
    </w:p>
    <w:p w14:paraId="0B36E51F">
      <w:pPr>
        <w:jc w:val="left"/>
        <w:outlineLvl w:val="1"/>
        <w:rPr>
          <w:rFonts w:ascii="仿宋" w:hAnsi="仿宋" w:eastAsia="仿宋" w:cs="Times New Roman"/>
          <w:b/>
          <w:sz w:val="36"/>
          <w:szCs w:val="21"/>
        </w:rPr>
      </w:pPr>
    </w:p>
    <w:p w14:paraId="055910F7">
      <w:pPr>
        <w:pStyle w:val="7"/>
        <w:numPr>
          <w:ilvl w:val="0"/>
          <w:numId w:val="5"/>
        </w:numPr>
        <w:jc w:val="left"/>
        <w:rPr>
          <w:b/>
          <w:sz w:val="44"/>
          <w:szCs w:val="36"/>
        </w:rPr>
      </w:pPr>
      <w:r>
        <w:rPr>
          <w:rFonts w:hint="eastAsia"/>
          <w:b/>
          <w:sz w:val="44"/>
          <w:szCs w:val="36"/>
        </w:rPr>
        <w:t>商务技术文件格式</w:t>
      </w:r>
    </w:p>
    <w:p w14:paraId="0122CAFD">
      <w:pPr>
        <w:rPr>
          <w:rFonts w:ascii="仿宋" w:hAnsi="仿宋" w:eastAsia="仿宋"/>
          <w:b/>
          <w:sz w:val="44"/>
          <w:szCs w:val="44"/>
        </w:rPr>
      </w:pPr>
      <w:r>
        <w:rPr>
          <w:rFonts w:hint="eastAsia"/>
          <w:b/>
          <w:sz w:val="28"/>
          <w:szCs w:val="24"/>
        </w:rPr>
        <w:t>1.</w:t>
      </w:r>
      <w:r>
        <w:rPr>
          <w:rFonts w:hint="eastAsia"/>
        </w:rPr>
        <w:t xml:space="preserve"> </w:t>
      </w:r>
      <w:r>
        <w:rPr>
          <w:rFonts w:ascii="仿宋" w:hAnsi="仿宋" w:eastAsia="仿宋"/>
          <w:b/>
          <w:sz w:val="36"/>
          <w:szCs w:val="36"/>
        </w:rPr>
        <w:t>报价表</w:t>
      </w:r>
      <w:r>
        <w:rPr>
          <w:rFonts w:hint="eastAsia" w:ascii="仿宋" w:hAnsi="仿宋" w:eastAsia="仿宋"/>
          <w:b/>
          <w:sz w:val="36"/>
          <w:szCs w:val="36"/>
        </w:rPr>
        <w:t xml:space="preserve"> </w:t>
      </w:r>
    </w:p>
    <w:p w14:paraId="46067EE4">
      <w:pPr>
        <w:snapToGrid w:val="0"/>
        <w:spacing w:line="500" w:lineRule="exact"/>
        <w:ind w:firstLine="600" w:firstLineChars="200"/>
        <w:jc w:val="left"/>
        <w:rPr>
          <w:rFonts w:ascii="仿宋" w:hAnsi="仿宋" w:eastAsia="仿宋"/>
          <w:sz w:val="30"/>
          <w:szCs w:val="30"/>
          <w:u w:val="single"/>
        </w:rPr>
      </w:pPr>
      <w:r>
        <w:rPr>
          <w:rFonts w:hint="eastAsia" w:ascii="仿宋" w:hAnsi="仿宋" w:eastAsia="仿宋"/>
          <w:sz w:val="30"/>
          <w:szCs w:val="30"/>
        </w:rPr>
        <w:t>项目编号：</w:t>
      </w:r>
      <w:r>
        <w:rPr>
          <w:rFonts w:hint="eastAsia" w:ascii="仿宋" w:hAnsi="仿宋" w:eastAsia="仿宋"/>
          <w:sz w:val="30"/>
          <w:szCs w:val="30"/>
          <w:u w:val="single"/>
        </w:rPr>
        <w:t xml:space="preserve">                 </w:t>
      </w:r>
    </w:p>
    <w:p w14:paraId="43C22739">
      <w:pPr>
        <w:snapToGrid w:val="0"/>
        <w:spacing w:line="500" w:lineRule="exact"/>
        <w:ind w:firstLine="600" w:firstLineChars="200"/>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tbl>
      <w:tblPr>
        <w:tblStyle w:val="17"/>
        <w:tblW w:w="10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44"/>
        <w:gridCol w:w="2410"/>
        <w:gridCol w:w="708"/>
        <w:gridCol w:w="709"/>
        <w:gridCol w:w="1418"/>
        <w:gridCol w:w="1276"/>
      </w:tblGrid>
      <w:tr w14:paraId="346F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10B00DB3">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3544" w:type="dxa"/>
            <w:tcBorders>
              <w:top w:val="single" w:color="auto" w:sz="4" w:space="0"/>
              <w:left w:val="single" w:color="auto" w:sz="4" w:space="0"/>
              <w:bottom w:val="single" w:color="auto" w:sz="4" w:space="0"/>
              <w:right w:val="single" w:color="auto" w:sz="4" w:space="0"/>
            </w:tcBorders>
            <w:vAlign w:val="center"/>
          </w:tcPr>
          <w:p w14:paraId="59627D29">
            <w:pPr>
              <w:spacing w:line="360" w:lineRule="exact"/>
              <w:jc w:val="center"/>
              <w:rPr>
                <w:rFonts w:ascii="仿宋" w:hAnsi="仿宋" w:eastAsia="仿宋" w:cs="Arial"/>
                <w:bCs/>
                <w:sz w:val="30"/>
                <w:szCs w:val="30"/>
              </w:rPr>
            </w:pPr>
            <w:bookmarkStart w:id="55" w:name="_GoBack"/>
            <w:bookmarkEnd w:id="55"/>
            <w:r>
              <w:rPr>
                <w:rFonts w:hint="eastAsia" w:ascii="仿宋" w:hAnsi="仿宋" w:eastAsia="仿宋" w:cs="Arial"/>
                <w:bCs/>
                <w:sz w:val="30"/>
                <w:szCs w:val="30"/>
              </w:rPr>
              <w:t>货物</w:t>
            </w:r>
            <w:r>
              <w:rPr>
                <w:rFonts w:ascii="仿宋" w:hAnsi="仿宋" w:eastAsia="仿宋" w:cs="Arial"/>
                <w:bCs/>
                <w:sz w:val="30"/>
                <w:szCs w:val="30"/>
              </w:rPr>
              <w:t>名称</w:t>
            </w:r>
          </w:p>
        </w:tc>
        <w:tc>
          <w:tcPr>
            <w:tcW w:w="2410" w:type="dxa"/>
            <w:tcBorders>
              <w:top w:val="single" w:color="auto" w:sz="4" w:space="0"/>
              <w:left w:val="single" w:color="auto" w:sz="4" w:space="0"/>
              <w:bottom w:val="single" w:color="auto" w:sz="4" w:space="0"/>
              <w:right w:val="single" w:color="auto" w:sz="4" w:space="0"/>
            </w:tcBorders>
            <w:vAlign w:val="center"/>
          </w:tcPr>
          <w:p w14:paraId="5450D280">
            <w:pPr>
              <w:spacing w:line="360" w:lineRule="exact"/>
              <w:jc w:val="center"/>
              <w:rPr>
                <w:rFonts w:ascii="仿宋" w:hAnsi="仿宋" w:eastAsia="仿宋" w:cs="Arial"/>
                <w:bCs/>
                <w:color w:val="000000" w:themeColor="text1"/>
                <w:sz w:val="30"/>
                <w:szCs w:val="30"/>
                <w14:textFill>
                  <w14:solidFill>
                    <w14:schemeClr w14:val="tx1"/>
                  </w14:solidFill>
                </w14:textFill>
              </w:rPr>
            </w:pPr>
            <w:r>
              <w:rPr>
                <w:rFonts w:hint="eastAsia" w:ascii="仿宋" w:hAnsi="仿宋" w:eastAsia="仿宋" w:cs="Arial"/>
                <w:bCs/>
                <w:color w:val="000000" w:themeColor="text1"/>
                <w:sz w:val="30"/>
                <w:szCs w:val="30"/>
                <w14:textFill>
                  <w14:solidFill>
                    <w14:schemeClr w14:val="tx1"/>
                  </w14:solidFill>
                </w14:textFill>
              </w:rPr>
              <w:t>报价</w:t>
            </w:r>
          </w:p>
          <w:p w14:paraId="1B04C2C4">
            <w:pPr>
              <w:spacing w:line="360" w:lineRule="exact"/>
              <w:jc w:val="center"/>
              <w:rPr>
                <w:rFonts w:ascii="仿宋" w:hAnsi="仿宋" w:eastAsia="仿宋" w:cs="Arial"/>
                <w:bCs/>
                <w:sz w:val="30"/>
                <w:szCs w:val="30"/>
              </w:rPr>
            </w:pPr>
            <w:r>
              <w:rPr>
                <w:rFonts w:hint="eastAsia" w:ascii="仿宋" w:hAnsi="仿宋" w:eastAsia="仿宋" w:cs="Arial"/>
                <w:bCs/>
                <w:color w:val="000000" w:themeColor="text1"/>
                <w:sz w:val="30"/>
                <w:szCs w:val="30"/>
                <w14:textFill>
                  <w14:solidFill>
                    <w14:schemeClr w14:val="tx1"/>
                  </w14:solidFill>
                </w14:textFill>
              </w:rPr>
              <w:t>品牌/生产商、规格、型号</w:t>
            </w:r>
          </w:p>
        </w:tc>
        <w:tc>
          <w:tcPr>
            <w:tcW w:w="708" w:type="dxa"/>
            <w:tcBorders>
              <w:top w:val="single" w:color="auto" w:sz="4" w:space="0"/>
              <w:left w:val="single" w:color="auto" w:sz="4" w:space="0"/>
              <w:bottom w:val="single" w:color="auto" w:sz="4" w:space="0"/>
              <w:right w:val="single" w:color="auto" w:sz="4" w:space="0"/>
            </w:tcBorders>
            <w:vAlign w:val="center"/>
          </w:tcPr>
          <w:p w14:paraId="0BA458BD">
            <w:pPr>
              <w:spacing w:line="360" w:lineRule="exact"/>
              <w:jc w:val="center"/>
              <w:rPr>
                <w:rFonts w:ascii="仿宋" w:hAnsi="仿宋" w:eastAsia="仿宋" w:cs="Arial"/>
                <w:bCs/>
                <w:sz w:val="30"/>
                <w:szCs w:val="30"/>
              </w:rPr>
            </w:pPr>
            <w:r>
              <w:rPr>
                <w:rFonts w:ascii="仿宋" w:hAnsi="仿宋" w:eastAsia="仿宋" w:cs="Arial"/>
                <w:bCs/>
                <w:sz w:val="30"/>
                <w:szCs w:val="30"/>
              </w:rPr>
              <w:t>数量</w:t>
            </w:r>
          </w:p>
        </w:tc>
        <w:tc>
          <w:tcPr>
            <w:tcW w:w="709" w:type="dxa"/>
            <w:tcBorders>
              <w:top w:val="single" w:color="auto" w:sz="4" w:space="0"/>
              <w:left w:val="single" w:color="auto" w:sz="4" w:space="0"/>
              <w:bottom w:val="single" w:color="auto" w:sz="4" w:space="0"/>
              <w:right w:val="single" w:color="auto" w:sz="4" w:space="0"/>
            </w:tcBorders>
            <w:vAlign w:val="center"/>
          </w:tcPr>
          <w:p w14:paraId="17E33DAA">
            <w:pPr>
              <w:spacing w:line="360" w:lineRule="exact"/>
              <w:jc w:val="center"/>
              <w:rPr>
                <w:rFonts w:ascii="仿宋" w:hAnsi="仿宋" w:eastAsia="仿宋" w:cs="Arial"/>
                <w:bCs/>
                <w:sz w:val="30"/>
                <w:szCs w:val="30"/>
              </w:rPr>
            </w:pPr>
            <w:r>
              <w:rPr>
                <w:rFonts w:hint="eastAsia" w:ascii="仿宋" w:hAnsi="仿宋" w:eastAsia="仿宋" w:cs="Arial"/>
                <w:bCs/>
                <w:sz w:val="30"/>
                <w:szCs w:val="30"/>
              </w:rPr>
              <w:t>单位</w:t>
            </w:r>
          </w:p>
        </w:tc>
        <w:tc>
          <w:tcPr>
            <w:tcW w:w="1418" w:type="dxa"/>
            <w:tcBorders>
              <w:top w:val="single" w:color="auto" w:sz="4" w:space="0"/>
              <w:left w:val="single" w:color="auto" w:sz="4" w:space="0"/>
              <w:bottom w:val="single" w:color="auto" w:sz="4" w:space="0"/>
              <w:right w:val="single" w:color="auto" w:sz="4" w:space="0"/>
            </w:tcBorders>
            <w:vAlign w:val="center"/>
          </w:tcPr>
          <w:p w14:paraId="4EDB054D">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w:t>
            </w:r>
          </w:p>
          <w:p w14:paraId="0E7DC488">
            <w:pPr>
              <w:spacing w:line="360" w:lineRule="exact"/>
              <w:jc w:val="center"/>
              <w:rPr>
                <w:rFonts w:ascii="仿宋" w:hAnsi="仿宋" w:eastAsia="仿宋" w:cs="Arial"/>
                <w:bCs/>
                <w:sz w:val="30"/>
                <w:szCs w:val="30"/>
              </w:rPr>
            </w:pPr>
            <w:r>
              <w:rPr>
                <w:rFonts w:ascii="仿宋" w:hAnsi="仿宋" w:eastAsia="仿宋" w:cs="Arial"/>
                <w:bCs/>
                <w:sz w:val="30"/>
                <w:szCs w:val="30"/>
              </w:rPr>
              <w:t>（元）</w:t>
            </w:r>
          </w:p>
        </w:tc>
        <w:tc>
          <w:tcPr>
            <w:tcW w:w="1276" w:type="dxa"/>
            <w:tcBorders>
              <w:top w:val="single" w:color="auto" w:sz="4" w:space="0"/>
              <w:left w:val="single" w:color="auto" w:sz="4" w:space="0"/>
              <w:bottom w:val="single" w:color="auto" w:sz="4" w:space="0"/>
              <w:right w:val="single" w:color="auto" w:sz="4" w:space="0"/>
            </w:tcBorders>
            <w:vAlign w:val="center"/>
          </w:tcPr>
          <w:p w14:paraId="6A5C6FD8">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11865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16A1AD22">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3544" w:type="dxa"/>
            <w:tcBorders>
              <w:top w:val="single" w:color="auto" w:sz="4" w:space="0"/>
              <w:left w:val="single" w:color="auto" w:sz="4" w:space="0"/>
              <w:bottom w:val="single" w:color="auto" w:sz="4" w:space="0"/>
              <w:right w:val="single" w:color="auto" w:sz="4" w:space="0"/>
            </w:tcBorders>
            <w:vAlign w:val="center"/>
          </w:tcPr>
          <w:p w14:paraId="7D58F9B2">
            <w:pPr>
              <w:widowControl/>
              <w:jc w:val="center"/>
              <w:textAlignment w:val="center"/>
              <w:rPr>
                <w:rFonts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2B026524">
            <w:pPr>
              <w:spacing w:line="360" w:lineRule="exact"/>
              <w:rPr>
                <w:rFonts w:ascii="仿宋" w:hAnsi="仿宋" w:eastAsia="仿宋" w:cs="Arial"/>
                <w:bCs/>
                <w:sz w:val="30"/>
                <w:szCs w:val="30"/>
              </w:rPr>
            </w:pPr>
          </w:p>
          <w:p w14:paraId="3CBB4F9A">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0EFE3BB2">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301A67E0">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116E8299">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04D3F502">
            <w:pPr>
              <w:widowControl/>
              <w:jc w:val="center"/>
              <w:textAlignment w:val="center"/>
              <w:rPr>
                <w:rFonts w:ascii="仿宋" w:hAnsi="仿宋" w:eastAsia="仿宋" w:cs="Arial"/>
                <w:bCs/>
                <w:sz w:val="30"/>
                <w:szCs w:val="30"/>
              </w:rPr>
            </w:pPr>
          </w:p>
        </w:tc>
      </w:tr>
      <w:tr w14:paraId="0DE3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062FEB71">
            <w:pPr>
              <w:spacing w:line="360" w:lineRule="exact"/>
              <w:jc w:val="center"/>
              <w:rPr>
                <w:rFonts w:ascii="仿宋" w:hAnsi="仿宋" w:eastAsia="仿宋" w:cs="Arial"/>
                <w:bCs/>
                <w:sz w:val="30"/>
                <w:szCs w:val="30"/>
              </w:rPr>
            </w:pPr>
            <w:r>
              <w:rPr>
                <w:rFonts w:hint="eastAsia" w:ascii="仿宋" w:hAnsi="仿宋" w:eastAsia="仿宋" w:cs="Arial"/>
                <w:bCs/>
                <w:sz w:val="30"/>
                <w:szCs w:val="30"/>
              </w:rPr>
              <w:t>2</w:t>
            </w:r>
          </w:p>
        </w:tc>
        <w:tc>
          <w:tcPr>
            <w:tcW w:w="3544" w:type="dxa"/>
            <w:tcBorders>
              <w:top w:val="single" w:color="auto" w:sz="4" w:space="0"/>
              <w:left w:val="single" w:color="auto" w:sz="4" w:space="0"/>
              <w:bottom w:val="single" w:color="auto" w:sz="4" w:space="0"/>
              <w:right w:val="single" w:color="auto" w:sz="4" w:space="0"/>
            </w:tcBorders>
            <w:vAlign w:val="center"/>
          </w:tcPr>
          <w:p w14:paraId="1A4843BF">
            <w:pPr>
              <w:widowControl/>
              <w:jc w:val="center"/>
              <w:textAlignment w:val="center"/>
              <w:rPr>
                <w:rFonts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01E78548">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0C61FE81">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02EAA9AC">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23C97A07">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46C98FE9">
            <w:pPr>
              <w:widowControl/>
              <w:jc w:val="center"/>
              <w:textAlignment w:val="center"/>
              <w:rPr>
                <w:rFonts w:ascii="仿宋" w:hAnsi="仿宋" w:eastAsia="仿宋" w:cs="Arial"/>
                <w:bCs/>
                <w:sz w:val="30"/>
                <w:szCs w:val="30"/>
              </w:rPr>
            </w:pPr>
          </w:p>
        </w:tc>
      </w:tr>
      <w:tr w14:paraId="167CB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77FAC8FF">
            <w:pPr>
              <w:spacing w:line="360" w:lineRule="exact"/>
              <w:jc w:val="center"/>
              <w:rPr>
                <w:rFonts w:ascii="仿宋" w:hAnsi="仿宋" w:eastAsia="仿宋" w:cs="Arial"/>
                <w:bCs/>
                <w:sz w:val="30"/>
                <w:szCs w:val="30"/>
              </w:rPr>
            </w:pPr>
            <w:r>
              <w:rPr>
                <w:rFonts w:hint="eastAsia" w:ascii="仿宋" w:hAnsi="仿宋" w:eastAsia="仿宋" w:cs="Arial"/>
                <w:bCs/>
                <w:sz w:val="30"/>
                <w:szCs w:val="30"/>
              </w:rPr>
              <w:t>3</w:t>
            </w:r>
          </w:p>
        </w:tc>
        <w:tc>
          <w:tcPr>
            <w:tcW w:w="3544" w:type="dxa"/>
            <w:tcBorders>
              <w:top w:val="single" w:color="auto" w:sz="4" w:space="0"/>
              <w:left w:val="single" w:color="auto" w:sz="4" w:space="0"/>
              <w:bottom w:val="single" w:color="auto" w:sz="4" w:space="0"/>
              <w:right w:val="single" w:color="auto" w:sz="4" w:space="0"/>
            </w:tcBorders>
            <w:vAlign w:val="center"/>
          </w:tcPr>
          <w:p w14:paraId="6D18D0C0">
            <w:pPr>
              <w:widowControl/>
              <w:jc w:val="center"/>
              <w:textAlignment w:val="center"/>
              <w:rPr>
                <w:rFonts w:ascii="仿宋" w:hAnsi="仿宋" w:eastAsia="仿宋" w:cs="Arial"/>
                <w:bCs/>
                <w:sz w:val="30"/>
                <w:szCs w:val="30"/>
              </w:rPr>
            </w:pPr>
            <w:r>
              <w:rPr>
                <w:rFonts w:ascii="仿宋" w:hAnsi="仿宋" w:eastAsia="仿宋" w:cs="Arial"/>
                <w:bCs/>
                <w:sz w:val="30"/>
                <w:szCs w:val="30"/>
              </w:rPr>
              <w:t>……</w:t>
            </w:r>
          </w:p>
        </w:tc>
        <w:tc>
          <w:tcPr>
            <w:tcW w:w="2410" w:type="dxa"/>
            <w:tcBorders>
              <w:top w:val="single" w:color="auto" w:sz="4" w:space="0"/>
              <w:left w:val="single" w:color="auto" w:sz="4" w:space="0"/>
              <w:bottom w:val="single" w:color="auto" w:sz="4" w:space="0"/>
              <w:right w:val="single" w:color="auto" w:sz="4" w:space="0"/>
            </w:tcBorders>
            <w:vAlign w:val="center"/>
          </w:tcPr>
          <w:p w14:paraId="2A176A82">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5241CD1B">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0893F832">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7BB29DBE">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768A22A7">
            <w:pPr>
              <w:widowControl/>
              <w:jc w:val="center"/>
              <w:textAlignment w:val="center"/>
              <w:rPr>
                <w:rFonts w:ascii="仿宋" w:hAnsi="仿宋" w:eastAsia="仿宋" w:cs="Arial"/>
                <w:bCs/>
                <w:sz w:val="30"/>
                <w:szCs w:val="30"/>
              </w:rPr>
            </w:pPr>
          </w:p>
        </w:tc>
      </w:tr>
      <w:tr w14:paraId="04B97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7E3D505A">
            <w:pPr>
              <w:spacing w:line="360" w:lineRule="exact"/>
              <w:jc w:val="left"/>
              <w:rPr>
                <w:rFonts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7D32F6A4">
            <w:pPr>
              <w:spacing w:line="360" w:lineRule="exact"/>
              <w:jc w:val="left"/>
              <w:rPr>
                <w:rFonts w:ascii="仿宋" w:hAnsi="仿宋" w:eastAsia="仿宋" w:cs="Arial"/>
                <w:bCs/>
                <w:sz w:val="30"/>
                <w:szCs w:val="30"/>
              </w:rPr>
            </w:pPr>
            <w:r>
              <w:rPr>
                <w:rFonts w:ascii="仿宋" w:hAnsi="仿宋" w:eastAsia="仿宋" w:cs="Arial"/>
                <w:bCs/>
                <w:sz w:val="30"/>
                <w:szCs w:val="30"/>
              </w:rPr>
              <w:t>包含装卸、运输等所有费用。</w:t>
            </w:r>
          </w:p>
        </w:tc>
      </w:tr>
      <w:tr w14:paraId="0EE29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77500457">
            <w:pPr>
              <w:spacing w:line="360" w:lineRule="exact"/>
              <w:jc w:val="left"/>
              <w:rPr>
                <w:rFonts w:ascii="仿宋" w:hAnsi="仿宋" w:eastAsia="仿宋" w:cs="Arial"/>
                <w:bCs/>
                <w:sz w:val="30"/>
                <w:szCs w:val="30"/>
              </w:rPr>
            </w:pPr>
            <w:r>
              <w:rPr>
                <w:rFonts w:ascii="仿宋" w:hAnsi="仿宋" w:eastAsia="仿宋" w:cs="Arial"/>
                <w:bCs/>
                <w:sz w:val="30"/>
                <w:szCs w:val="30"/>
              </w:rPr>
              <w:t>交付期：自合同签订之日起</w:t>
            </w:r>
            <w:r>
              <w:rPr>
                <w:rFonts w:hint="eastAsia" w:ascii="仿宋" w:hAnsi="仿宋" w:eastAsia="仿宋" w:cs="Arial"/>
                <w:b/>
                <w:bCs/>
                <w:sz w:val="30"/>
                <w:szCs w:val="30"/>
                <w:u w:val="single"/>
              </w:rPr>
              <w:t xml:space="preserve">    日；</w:t>
            </w:r>
          </w:p>
          <w:p w14:paraId="318D706B">
            <w:pPr>
              <w:pStyle w:val="7"/>
            </w:pPr>
            <w:r>
              <w:rPr>
                <w:rFonts w:hint="eastAsia" w:ascii="仿宋" w:hAnsi="仿宋" w:eastAsia="仿宋" w:cs="Arial"/>
                <w:bCs/>
                <w:sz w:val="30"/>
                <w:szCs w:val="30"/>
              </w:rPr>
              <w:t>服务期限：自验收合格并交付使用之日起</w:t>
            </w:r>
            <w:r>
              <w:rPr>
                <w:rFonts w:hint="eastAsia" w:ascii="仿宋" w:hAnsi="仿宋" w:eastAsia="仿宋" w:cs="Arial"/>
                <w:b/>
                <w:bCs/>
                <w:sz w:val="30"/>
                <w:szCs w:val="30"/>
                <w:u w:val="single"/>
              </w:rPr>
              <w:t xml:space="preserve">  月</w:t>
            </w:r>
            <w:r>
              <w:rPr>
                <w:rFonts w:hint="eastAsia" w:ascii="仿宋" w:hAnsi="仿宋" w:eastAsia="仿宋" w:cs="Arial"/>
                <w:b/>
                <w:bCs/>
                <w:sz w:val="30"/>
                <w:szCs w:val="30"/>
              </w:rPr>
              <w:t>。</w:t>
            </w:r>
          </w:p>
        </w:tc>
      </w:tr>
    </w:tbl>
    <w:p w14:paraId="34723468">
      <w:pPr>
        <w:pStyle w:val="8"/>
        <w:spacing w:line="500" w:lineRule="exact"/>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5E8C6E79">
      <w:pPr>
        <w:pStyle w:val="9"/>
        <w:ind w:left="5250"/>
      </w:pPr>
    </w:p>
    <w:p w14:paraId="0BEFCCE9">
      <w:pPr>
        <w:pStyle w:val="8"/>
        <w:spacing w:line="500" w:lineRule="exact"/>
        <w:rPr>
          <w:rFonts w:ascii="仿宋" w:hAnsi="仿宋" w:eastAsia="仿宋" w:cs="Arial"/>
          <w:sz w:val="30"/>
          <w:szCs w:val="30"/>
          <w:u w:val="single"/>
        </w:rPr>
      </w:pPr>
      <w:r>
        <w:rPr>
          <w:rFonts w:hint="eastAsia" w:ascii="仿宋" w:hAnsi="仿宋" w:eastAsia="仿宋" w:cs="Arial"/>
          <w:sz w:val="30"/>
          <w:szCs w:val="30"/>
        </w:rPr>
        <w:t>法定代表人（负责人）或授权代表（签字）:</w:t>
      </w:r>
      <w:r>
        <w:rPr>
          <w:rFonts w:ascii="仿宋" w:hAnsi="仿宋" w:eastAsia="仿宋" w:cs="Arial"/>
          <w:sz w:val="30"/>
          <w:szCs w:val="30"/>
          <w:u w:val="single"/>
        </w:rPr>
        <w:t xml:space="preserve">                          </w:t>
      </w:r>
    </w:p>
    <w:p w14:paraId="7BF60F38">
      <w:pPr>
        <w:pStyle w:val="9"/>
        <w:ind w:left="5250"/>
      </w:pPr>
    </w:p>
    <w:p w14:paraId="5084C12D">
      <w:pPr>
        <w:pStyle w:val="7"/>
        <w:jc w:val="left"/>
      </w:pPr>
    </w:p>
    <w:p w14:paraId="36FF8613">
      <w:pPr>
        <w:pStyle w:val="7"/>
        <w:jc w:val="left"/>
      </w:pPr>
    </w:p>
    <w:p w14:paraId="41291252">
      <w:pPr>
        <w:pStyle w:val="7"/>
        <w:jc w:val="left"/>
      </w:pPr>
    </w:p>
    <w:p w14:paraId="1798EB0B">
      <w:pPr>
        <w:pStyle w:val="7"/>
        <w:jc w:val="left"/>
      </w:pPr>
    </w:p>
    <w:p w14:paraId="24DCBC5F">
      <w:pPr>
        <w:pStyle w:val="7"/>
        <w:jc w:val="left"/>
      </w:pPr>
    </w:p>
    <w:p w14:paraId="7371736E">
      <w:pPr>
        <w:pStyle w:val="7"/>
        <w:jc w:val="left"/>
      </w:pPr>
    </w:p>
    <w:p w14:paraId="22D1AC7F">
      <w:pPr>
        <w:pStyle w:val="7"/>
        <w:jc w:val="left"/>
      </w:pPr>
    </w:p>
    <w:p w14:paraId="58439220">
      <w:pPr>
        <w:pStyle w:val="7"/>
        <w:jc w:val="left"/>
      </w:pPr>
    </w:p>
    <w:p w14:paraId="75999EBB">
      <w:pPr>
        <w:pStyle w:val="7"/>
        <w:jc w:val="left"/>
      </w:pPr>
    </w:p>
    <w:p w14:paraId="4A06F449">
      <w:pPr>
        <w:pStyle w:val="7"/>
        <w:jc w:val="left"/>
      </w:pPr>
    </w:p>
    <w:p w14:paraId="3AA0C8D7">
      <w:pPr>
        <w:pStyle w:val="7"/>
        <w:jc w:val="left"/>
      </w:pPr>
    </w:p>
    <w:p w14:paraId="22258FB4">
      <w:pPr>
        <w:pStyle w:val="7"/>
        <w:jc w:val="left"/>
      </w:pPr>
    </w:p>
    <w:p w14:paraId="049D89E1">
      <w:pPr>
        <w:pStyle w:val="7"/>
        <w:jc w:val="left"/>
      </w:pPr>
    </w:p>
    <w:p w14:paraId="6796DD7B">
      <w:pPr>
        <w:pStyle w:val="7"/>
        <w:jc w:val="left"/>
        <w:rPr>
          <w:rFonts w:ascii="宋体" w:hAnsi="宋体" w:cs="宋体"/>
        </w:rPr>
      </w:pPr>
      <w:r>
        <w:rPr>
          <w:rFonts w:hint="eastAsia" w:ascii="宋体" w:hAnsi="宋体" w:cs="宋体"/>
          <w:b/>
          <w:sz w:val="28"/>
        </w:rPr>
        <w:t>2.商务、技术响应、偏离情况说明表</w:t>
      </w:r>
    </w:p>
    <w:p w14:paraId="63397DC4">
      <w:pPr>
        <w:spacing w:before="156" w:beforeLines="50" w:after="156" w:afterLines="50" w:line="360" w:lineRule="exact"/>
        <w:rPr>
          <w:rFonts w:ascii="宋体" w:hAnsi="宋体"/>
          <w:sz w:val="28"/>
        </w:rPr>
      </w:pPr>
      <w:r>
        <w:rPr>
          <w:rFonts w:hint="eastAsia" w:ascii="宋体" w:hAnsi="宋体"/>
          <w:sz w:val="28"/>
        </w:rPr>
        <w:t>采购编号：</w:t>
      </w:r>
      <w:r>
        <w:rPr>
          <w:rFonts w:hint="eastAsia" w:ascii="宋体" w:hAnsi="宋体"/>
          <w:sz w:val="28"/>
          <w:u w:val="single"/>
        </w:rPr>
        <w:t xml:space="preserve">                       </w:t>
      </w:r>
      <w:r>
        <w:rPr>
          <w:rFonts w:hint="eastAsia" w:ascii="宋体" w:hAnsi="宋体"/>
          <w:sz w:val="28"/>
        </w:rPr>
        <w:t xml:space="preserve">         </w:t>
      </w:r>
    </w:p>
    <w:p w14:paraId="67784492">
      <w:pPr>
        <w:spacing w:before="156" w:beforeLines="50" w:after="156" w:afterLines="50" w:line="360" w:lineRule="exact"/>
        <w:rPr>
          <w:rFonts w:ascii="宋体" w:hAnsi="宋体"/>
          <w:sz w:val="28"/>
          <w:u w:val="single"/>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753FA8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30ED1E90">
            <w:pPr>
              <w:adjustRightInd w:val="0"/>
              <w:snapToGrid w:val="0"/>
              <w:spacing w:line="300" w:lineRule="auto"/>
              <w:outlineLvl w:val="0"/>
              <w:rPr>
                <w:rFonts w:ascii="宋体" w:hAnsi="宋体"/>
                <w:sz w:val="24"/>
                <w:szCs w:val="24"/>
              </w:rPr>
            </w:pPr>
            <w:bookmarkStart w:id="5" w:name="_Toc173066401"/>
            <w:bookmarkStart w:id="6" w:name="_Toc405905876"/>
            <w:bookmarkStart w:id="7" w:name="_Toc254970588"/>
            <w:bookmarkStart w:id="8" w:name="_Toc254970729"/>
            <w:bookmarkStart w:id="9" w:name="_Toc171349578"/>
            <w:bookmarkStart w:id="10" w:name="_Toc173211900"/>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2ADA5E7C">
            <w:pPr>
              <w:jc w:val="center"/>
              <w:rPr>
                <w:rFonts w:ascii="宋体" w:hAnsi="宋体" w:cs="宋体"/>
                <w:kern w:val="0"/>
                <w:sz w:val="24"/>
              </w:rPr>
            </w:pPr>
            <w:r>
              <w:rPr>
                <w:rFonts w:hint="eastAsia" w:ascii="宋体" w:hAnsi="宋体" w:cs="宋体"/>
                <w:kern w:val="0"/>
                <w:sz w:val="24"/>
              </w:rPr>
              <w:t>采购文件参数要求</w:t>
            </w:r>
          </w:p>
        </w:tc>
        <w:tc>
          <w:tcPr>
            <w:tcW w:w="2945" w:type="dxa"/>
            <w:tcBorders>
              <w:top w:val="single" w:color="auto" w:sz="4" w:space="0"/>
              <w:left w:val="single" w:color="auto" w:sz="6" w:space="0"/>
              <w:bottom w:val="single" w:color="auto" w:sz="6" w:space="0"/>
              <w:right w:val="single" w:color="auto" w:sz="6" w:space="0"/>
            </w:tcBorders>
            <w:vAlign w:val="center"/>
          </w:tcPr>
          <w:p w14:paraId="7024D2A8">
            <w:pPr>
              <w:ind w:right="23" w:rightChars="11"/>
              <w:jc w:val="center"/>
              <w:rPr>
                <w:rFonts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0924F936">
            <w:pPr>
              <w:adjustRightInd w:val="0"/>
              <w:snapToGrid w:val="0"/>
              <w:spacing w:line="300" w:lineRule="auto"/>
              <w:jc w:val="center"/>
              <w:outlineLvl w:val="0"/>
              <w:rPr>
                <w:rFonts w:ascii="宋体" w:hAnsi="宋体"/>
                <w:sz w:val="24"/>
                <w:szCs w:val="24"/>
              </w:rPr>
            </w:pPr>
            <w:bookmarkStart w:id="11" w:name="_Toc171349581"/>
            <w:bookmarkStart w:id="12" w:name="_Toc254970732"/>
            <w:bookmarkStart w:id="13" w:name="_Toc405905879"/>
            <w:bookmarkStart w:id="14" w:name="_Toc173211903"/>
            <w:bookmarkStart w:id="15" w:name="_Toc173066404"/>
            <w:bookmarkStart w:id="16" w:name="_Toc254970591"/>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05EAE73A">
            <w:pPr>
              <w:adjustRightInd w:val="0"/>
              <w:snapToGrid w:val="0"/>
              <w:spacing w:line="300" w:lineRule="auto"/>
              <w:jc w:val="center"/>
              <w:outlineLvl w:val="0"/>
              <w:rPr>
                <w:rFonts w:ascii="宋体" w:hAnsi="宋体"/>
                <w:sz w:val="24"/>
                <w:szCs w:val="24"/>
              </w:rPr>
            </w:pPr>
            <w:bookmarkStart w:id="17" w:name="_Toc254970592"/>
            <w:bookmarkStart w:id="18" w:name="_Toc254970733"/>
            <w:bookmarkStart w:id="19" w:name="_Toc173211904"/>
            <w:bookmarkStart w:id="20" w:name="_Toc405905880"/>
            <w:bookmarkStart w:id="21" w:name="_Toc173066405"/>
            <w:bookmarkStart w:id="22" w:name="_Toc171349582"/>
            <w:r>
              <w:rPr>
                <w:rFonts w:hint="eastAsia" w:ascii="宋体" w:hAnsi="宋体"/>
                <w:sz w:val="24"/>
              </w:rPr>
              <w:t>说明</w:t>
            </w:r>
            <w:bookmarkEnd w:id="17"/>
            <w:bookmarkEnd w:id="18"/>
            <w:bookmarkEnd w:id="19"/>
            <w:bookmarkEnd w:id="20"/>
            <w:bookmarkEnd w:id="21"/>
            <w:bookmarkEnd w:id="22"/>
            <w:r>
              <w:rPr>
                <w:rFonts w:hint="eastAsia" w:ascii="宋体" w:hAnsi="宋体" w:cs="宋体"/>
              </w:rPr>
              <w:t>功能截图、相关证书复印件、检测报告所在响应文件页码（如有）</w:t>
            </w:r>
          </w:p>
        </w:tc>
      </w:tr>
      <w:tr w14:paraId="0284C4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0F317698">
            <w:pPr>
              <w:adjustRightInd w:val="0"/>
              <w:snapToGrid w:val="0"/>
              <w:spacing w:line="240" w:lineRule="exact"/>
              <w:jc w:val="center"/>
              <w:outlineLvl w:val="0"/>
              <w:rPr>
                <w:rFonts w:ascii="宋体" w:hAnsi="宋体"/>
                <w:sz w:val="24"/>
                <w:szCs w:val="24"/>
              </w:rPr>
            </w:pPr>
            <w:bookmarkStart w:id="23" w:name="_Toc171349583"/>
            <w:bookmarkStart w:id="24" w:name="_Toc405905881"/>
            <w:r>
              <w:rPr>
                <w:rFonts w:hint="eastAsia" w:ascii="宋体" w:hAnsi="宋体"/>
                <w:sz w:val="24"/>
              </w:rPr>
              <w:t>商务部分</w:t>
            </w:r>
            <w:bookmarkEnd w:id="23"/>
            <w:bookmarkEnd w:id="24"/>
          </w:p>
        </w:tc>
      </w:tr>
      <w:tr w14:paraId="291524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3A390FF">
            <w:pPr>
              <w:adjustRightInd w:val="0"/>
              <w:snapToGrid w:val="0"/>
              <w:spacing w:line="240" w:lineRule="exact"/>
              <w:jc w:val="center"/>
              <w:outlineLvl w:val="0"/>
              <w:rPr>
                <w:rFonts w:ascii="宋体" w:hAnsi="宋体"/>
                <w:sz w:val="24"/>
                <w:szCs w:val="24"/>
              </w:rPr>
            </w:pPr>
            <w:bookmarkStart w:id="25" w:name="_Toc254970593"/>
            <w:bookmarkStart w:id="26" w:name="_Toc254970734"/>
            <w:bookmarkStart w:id="27" w:name="_Toc405905882"/>
            <w:bookmarkStart w:id="28" w:name="_Toc173066406"/>
            <w:bookmarkStart w:id="29" w:name="_Toc173211905"/>
            <w:bookmarkStart w:id="30" w:name="_Toc171349584"/>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45AD0119">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19650BAF">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82FE4B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94E41B7">
            <w:pPr>
              <w:adjustRightInd w:val="0"/>
              <w:snapToGrid w:val="0"/>
              <w:spacing w:line="240" w:lineRule="exact"/>
              <w:jc w:val="center"/>
              <w:outlineLvl w:val="0"/>
              <w:rPr>
                <w:rFonts w:ascii="宋体" w:hAnsi="宋体"/>
                <w:sz w:val="24"/>
                <w:szCs w:val="24"/>
              </w:rPr>
            </w:pPr>
          </w:p>
        </w:tc>
      </w:tr>
      <w:tr w14:paraId="12CBF3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D79FAFA">
            <w:pPr>
              <w:adjustRightInd w:val="0"/>
              <w:snapToGrid w:val="0"/>
              <w:spacing w:line="240" w:lineRule="exact"/>
              <w:jc w:val="center"/>
              <w:outlineLvl w:val="0"/>
              <w:rPr>
                <w:rFonts w:ascii="宋体" w:hAnsi="宋体"/>
                <w:sz w:val="24"/>
                <w:szCs w:val="24"/>
              </w:rPr>
            </w:pPr>
            <w:bookmarkStart w:id="31" w:name="_Toc173211906"/>
            <w:bookmarkStart w:id="32" w:name="_Toc171349585"/>
            <w:bookmarkStart w:id="33" w:name="_Toc173066407"/>
            <w:bookmarkStart w:id="34" w:name="_Toc254970594"/>
            <w:bookmarkStart w:id="35" w:name="_Toc254970735"/>
            <w:bookmarkStart w:id="36" w:name="_Toc405905883"/>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0BBEEA06">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32ED814">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D607D3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BF99D01">
            <w:pPr>
              <w:adjustRightInd w:val="0"/>
              <w:snapToGrid w:val="0"/>
              <w:spacing w:line="240" w:lineRule="exact"/>
              <w:jc w:val="center"/>
              <w:outlineLvl w:val="0"/>
              <w:rPr>
                <w:rFonts w:ascii="宋体" w:hAnsi="宋体"/>
                <w:sz w:val="24"/>
                <w:szCs w:val="24"/>
              </w:rPr>
            </w:pPr>
          </w:p>
        </w:tc>
      </w:tr>
      <w:tr w14:paraId="169B1C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E5986FB">
            <w:pPr>
              <w:adjustRightInd w:val="0"/>
              <w:snapToGrid w:val="0"/>
              <w:spacing w:line="240" w:lineRule="exact"/>
              <w:jc w:val="center"/>
              <w:outlineLvl w:val="0"/>
              <w:rPr>
                <w:rFonts w:ascii="宋体" w:hAnsi="宋体"/>
                <w:sz w:val="24"/>
                <w:szCs w:val="24"/>
              </w:rPr>
            </w:pPr>
            <w:bookmarkStart w:id="37" w:name="_Toc171349586"/>
            <w:bookmarkStart w:id="38" w:name="_Toc405905884"/>
            <w:bookmarkStart w:id="39" w:name="_Toc173066408"/>
            <w:bookmarkStart w:id="40" w:name="_Toc173211907"/>
            <w:bookmarkStart w:id="41" w:name="_Toc254970595"/>
            <w:bookmarkStart w:id="42" w:name="_Toc254970736"/>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28C7CEC7">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D392E3F">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6E394BB">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072D13A">
            <w:pPr>
              <w:adjustRightInd w:val="0"/>
              <w:snapToGrid w:val="0"/>
              <w:spacing w:line="240" w:lineRule="exact"/>
              <w:jc w:val="center"/>
              <w:outlineLvl w:val="0"/>
              <w:rPr>
                <w:rFonts w:ascii="宋体" w:hAnsi="宋体"/>
                <w:sz w:val="24"/>
                <w:szCs w:val="24"/>
              </w:rPr>
            </w:pPr>
          </w:p>
        </w:tc>
      </w:tr>
      <w:tr w14:paraId="1DE25F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7675508">
            <w:pPr>
              <w:adjustRightInd w:val="0"/>
              <w:snapToGrid w:val="0"/>
              <w:spacing w:line="240" w:lineRule="exact"/>
              <w:jc w:val="center"/>
              <w:outlineLvl w:val="0"/>
              <w:rPr>
                <w:rFonts w:ascii="宋体" w:hAnsi="宋体"/>
                <w:sz w:val="24"/>
                <w:szCs w:val="24"/>
              </w:rPr>
            </w:pPr>
            <w:bookmarkStart w:id="43" w:name="_Toc405905885"/>
            <w:bookmarkStart w:id="44" w:name="_Toc171349587"/>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68936D64">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F4AF597">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1A4DB69">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B23CB6F">
            <w:pPr>
              <w:adjustRightInd w:val="0"/>
              <w:snapToGrid w:val="0"/>
              <w:spacing w:line="240" w:lineRule="exact"/>
              <w:jc w:val="center"/>
              <w:outlineLvl w:val="0"/>
              <w:rPr>
                <w:rFonts w:ascii="宋体" w:hAnsi="宋体"/>
                <w:sz w:val="24"/>
                <w:szCs w:val="24"/>
              </w:rPr>
            </w:pPr>
          </w:p>
        </w:tc>
      </w:tr>
      <w:tr w14:paraId="394871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6DCE8E2F">
            <w:pPr>
              <w:adjustRightInd w:val="0"/>
              <w:snapToGrid w:val="0"/>
              <w:spacing w:line="240" w:lineRule="exact"/>
              <w:jc w:val="center"/>
              <w:outlineLvl w:val="0"/>
              <w:rPr>
                <w:rFonts w:ascii="宋体" w:hAnsi="宋体"/>
                <w:sz w:val="24"/>
                <w:szCs w:val="24"/>
              </w:rPr>
            </w:pPr>
            <w:bookmarkStart w:id="45" w:name="_Toc405905886"/>
            <w:bookmarkStart w:id="46" w:name="_Toc171349588"/>
            <w:r>
              <w:rPr>
                <w:rFonts w:hint="eastAsia" w:ascii="宋体" w:hAnsi="宋体"/>
                <w:sz w:val="24"/>
              </w:rPr>
              <w:t>技术部分</w:t>
            </w:r>
            <w:bookmarkEnd w:id="45"/>
            <w:bookmarkEnd w:id="46"/>
          </w:p>
        </w:tc>
      </w:tr>
      <w:tr w14:paraId="358058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C0E36C0">
            <w:pPr>
              <w:adjustRightInd w:val="0"/>
              <w:snapToGrid w:val="0"/>
              <w:spacing w:line="240" w:lineRule="exact"/>
              <w:jc w:val="center"/>
              <w:outlineLvl w:val="0"/>
              <w:rPr>
                <w:rFonts w:ascii="宋体" w:hAnsi="宋体"/>
                <w:sz w:val="24"/>
                <w:szCs w:val="24"/>
              </w:rPr>
            </w:pPr>
            <w:bookmarkStart w:id="47" w:name="_Toc405905887"/>
            <w:bookmarkStart w:id="48" w:name="_Toc171349589"/>
            <w:r>
              <w:rPr>
                <w:rFonts w:hint="eastAsia" w:ascii="宋体" w:hAnsi="宋体"/>
                <w:sz w:val="24"/>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26EA6188">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07E9466">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B5C3FC1">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910376E">
            <w:pPr>
              <w:adjustRightInd w:val="0"/>
              <w:snapToGrid w:val="0"/>
              <w:spacing w:line="240" w:lineRule="exact"/>
              <w:jc w:val="center"/>
              <w:outlineLvl w:val="0"/>
              <w:rPr>
                <w:rFonts w:ascii="宋体" w:hAnsi="宋体"/>
                <w:sz w:val="24"/>
                <w:szCs w:val="24"/>
              </w:rPr>
            </w:pPr>
          </w:p>
        </w:tc>
      </w:tr>
      <w:tr w14:paraId="7EAA3C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F3F8A29">
            <w:pPr>
              <w:adjustRightInd w:val="0"/>
              <w:snapToGrid w:val="0"/>
              <w:spacing w:line="240" w:lineRule="exact"/>
              <w:jc w:val="center"/>
              <w:outlineLvl w:val="0"/>
              <w:rPr>
                <w:rFonts w:ascii="宋体" w:hAnsi="宋体"/>
                <w:sz w:val="24"/>
                <w:szCs w:val="24"/>
              </w:rPr>
            </w:pPr>
            <w:bookmarkStart w:id="49" w:name="_Toc171349590"/>
            <w:bookmarkStart w:id="50" w:name="_Toc405905888"/>
            <w:r>
              <w:rPr>
                <w:rFonts w:hint="eastAsia" w:ascii="宋体" w:hAnsi="宋体"/>
                <w:sz w:val="24"/>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6F558E2C">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497BFBF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0C5BC5F">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915405D">
            <w:pPr>
              <w:adjustRightInd w:val="0"/>
              <w:snapToGrid w:val="0"/>
              <w:spacing w:line="240" w:lineRule="exact"/>
              <w:jc w:val="center"/>
              <w:outlineLvl w:val="0"/>
              <w:rPr>
                <w:rFonts w:ascii="宋体" w:hAnsi="宋体"/>
                <w:sz w:val="24"/>
                <w:szCs w:val="24"/>
              </w:rPr>
            </w:pPr>
          </w:p>
        </w:tc>
      </w:tr>
      <w:tr w14:paraId="72F588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41B4BA8">
            <w:pPr>
              <w:adjustRightInd w:val="0"/>
              <w:snapToGrid w:val="0"/>
              <w:spacing w:line="240" w:lineRule="exact"/>
              <w:jc w:val="center"/>
              <w:outlineLvl w:val="0"/>
              <w:rPr>
                <w:rFonts w:ascii="宋体" w:hAnsi="宋体"/>
                <w:sz w:val="24"/>
                <w:szCs w:val="24"/>
              </w:rPr>
            </w:pPr>
            <w:bookmarkStart w:id="51" w:name="_Toc171349591"/>
            <w:bookmarkStart w:id="52" w:name="_Toc405905889"/>
            <w:r>
              <w:rPr>
                <w:rFonts w:hint="eastAsia" w:ascii="宋体" w:hAnsi="宋体"/>
                <w:sz w:val="24"/>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315DAA23">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E85DFD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5D2605B">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B4EC1EC">
            <w:pPr>
              <w:adjustRightInd w:val="0"/>
              <w:snapToGrid w:val="0"/>
              <w:spacing w:line="240" w:lineRule="exact"/>
              <w:jc w:val="center"/>
              <w:outlineLvl w:val="0"/>
              <w:rPr>
                <w:rFonts w:ascii="宋体" w:hAnsi="宋体"/>
                <w:sz w:val="24"/>
                <w:szCs w:val="24"/>
              </w:rPr>
            </w:pPr>
          </w:p>
        </w:tc>
      </w:tr>
      <w:tr w14:paraId="3C6779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0DFFFF1B">
            <w:pPr>
              <w:adjustRightInd w:val="0"/>
              <w:snapToGrid w:val="0"/>
              <w:spacing w:line="240" w:lineRule="exact"/>
              <w:jc w:val="center"/>
              <w:outlineLvl w:val="0"/>
              <w:rPr>
                <w:rFonts w:ascii="宋体" w:hAnsi="宋体"/>
                <w:sz w:val="24"/>
                <w:szCs w:val="24"/>
              </w:rPr>
            </w:pPr>
            <w:bookmarkStart w:id="53" w:name="_Toc405905890"/>
            <w:bookmarkStart w:id="54" w:name="_Toc171349592"/>
            <w:r>
              <w:rPr>
                <w:rFonts w:hint="eastAsia" w:ascii="宋体" w:hAnsi="宋体"/>
                <w:sz w:val="24"/>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14:paraId="13600ACA">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59D87B2C">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46717C8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23BE3E0D">
            <w:pPr>
              <w:adjustRightInd w:val="0"/>
              <w:snapToGrid w:val="0"/>
              <w:spacing w:line="240" w:lineRule="exact"/>
              <w:jc w:val="center"/>
              <w:outlineLvl w:val="0"/>
              <w:rPr>
                <w:rFonts w:ascii="宋体" w:hAnsi="宋体"/>
                <w:sz w:val="24"/>
                <w:szCs w:val="24"/>
              </w:rPr>
            </w:pPr>
          </w:p>
        </w:tc>
      </w:tr>
    </w:tbl>
    <w:p w14:paraId="78D08A21">
      <w:pPr>
        <w:adjustRightInd w:val="0"/>
        <w:snapToGrid w:val="0"/>
        <w:spacing w:line="460" w:lineRule="exact"/>
        <w:rPr>
          <w:rFonts w:ascii="宋体" w:hAnsi="宋体"/>
          <w:sz w:val="24"/>
        </w:rPr>
      </w:pPr>
      <w:r>
        <w:rPr>
          <w:rFonts w:hint="eastAsia" w:ascii="宋体" w:hAnsi="宋体"/>
          <w:sz w:val="24"/>
        </w:rPr>
        <w:t>说明：</w:t>
      </w:r>
    </w:p>
    <w:p w14:paraId="255CF883">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70B70754">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5FFE5DA2">
      <w:pPr>
        <w:spacing w:line="400" w:lineRule="exact"/>
        <w:ind w:firstLine="511" w:firstLineChars="213"/>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7A15CEEF">
      <w:pPr>
        <w:pStyle w:val="7"/>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14:paraId="37B2500E">
      <w:pPr>
        <w:pStyle w:val="7"/>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7CF45E7F">
      <w:pPr>
        <w:pStyle w:val="7"/>
        <w:jc w:val="left"/>
        <w:rPr>
          <w:rFonts w:ascii="宋体" w:hAnsi="宋体" w:cs="宋体"/>
          <w:b/>
          <w:sz w:val="24"/>
          <w:szCs w:val="24"/>
        </w:rPr>
      </w:pPr>
    </w:p>
    <w:p w14:paraId="796FA79A">
      <w:pPr>
        <w:pStyle w:val="7"/>
        <w:jc w:val="left"/>
        <w:rPr>
          <w:b/>
          <w:sz w:val="28"/>
          <w:szCs w:val="24"/>
        </w:rPr>
      </w:pPr>
      <w:r>
        <w:rPr>
          <w:rFonts w:hint="eastAsia" w:ascii="宋体" w:hAnsi="宋体" w:cs="宋体"/>
          <w:b/>
          <w:sz w:val="24"/>
          <w:szCs w:val="24"/>
        </w:rPr>
        <w:t xml:space="preserve">      　　　　　　　　　　　　　                           日期：   年  月  日</w:t>
      </w:r>
    </w:p>
    <w:sectPr>
      <w:footerReference r:id="rId3" w:type="default"/>
      <w:pgSz w:w="11906" w:h="16838"/>
      <w:pgMar w:top="567" w:right="566" w:bottom="567" w:left="284" w:header="851"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6051496"/>
    </w:sdtPr>
    <w:sdtContent>
      <w:p w14:paraId="5A0281F3">
        <w:pPr>
          <w:pStyle w:val="11"/>
          <w:jc w:val="center"/>
        </w:pPr>
        <w:r>
          <w:fldChar w:fldCharType="begin"/>
        </w:r>
        <w:r>
          <w:instrText xml:space="preserve">PAGE   \* MERGEFORMAT</w:instrText>
        </w:r>
        <w:r>
          <w:fldChar w:fldCharType="separate"/>
        </w:r>
        <w:r>
          <w:rPr>
            <w:lang w:val="zh-CN"/>
          </w:rPr>
          <w:t>1</w:t>
        </w:r>
        <w:r>
          <w:fldChar w:fldCharType="end"/>
        </w:r>
      </w:p>
    </w:sdtContent>
  </w:sdt>
  <w:p w14:paraId="315C4317">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3EDD27"/>
    <w:multiLevelType w:val="singleLevel"/>
    <w:tmpl w:val="053EDD27"/>
    <w:lvl w:ilvl="0" w:tentative="0">
      <w:start w:val="1"/>
      <w:numFmt w:val="chineseCounting"/>
      <w:suff w:val="nothing"/>
      <w:lvlText w:val="%1、"/>
      <w:lvlJc w:val="left"/>
      <w:rPr>
        <w:rFonts w:hint="eastAsia"/>
      </w:rPr>
    </w:lvl>
  </w:abstractNum>
  <w:abstractNum w:abstractNumId="1">
    <w:nsid w:val="1519128E"/>
    <w:multiLevelType w:val="singleLevel"/>
    <w:tmpl w:val="1519128E"/>
    <w:lvl w:ilvl="0" w:tentative="0">
      <w:start w:val="7"/>
      <w:numFmt w:val="decimal"/>
      <w:lvlText w:val="%1."/>
      <w:lvlJc w:val="left"/>
      <w:pPr>
        <w:tabs>
          <w:tab w:val="left" w:pos="312"/>
        </w:tabs>
      </w:pPr>
    </w:lvl>
  </w:abstractNum>
  <w:abstractNum w:abstractNumId="2">
    <w:nsid w:val="442756B7"/>
    <w:multiLevelType w:val="singleLevel"/>
    <w:tmpl w:val="442756B7"/>
    <w:lvl w:ilvl="0" w:tentative="0">
      <w:start w:val="2"/>
      <w:numFmt w:val="chineseCounting"/>
      <w:suff w:val="nothing"/>
      <w:lvlText w:val="%1、"/>
      <w:lvlJc w:val="left"/>
      <w:rPr>
        <w:rFonts w:hint="eastAsia"/>
      </w:rPr>
    </w:lvl>
  </w:abstractNum>
  <w:abstractNum w:abstractNumId="3">
    <w:nsid w:val="683F66A1"/>
    <w:multiLevelType w:val="singleLevel"/>
    <w:tmpl w:val="683F66A1"/>
    <w:lvl w:ilvl="0" w:tentative="0">
      <w:start w:val="1"/>
      <w:numFmt w:val="decimalEnclosedCircleChinese"/>
      <w:suff w:val="nothing"/>
      <w:lvlText w:val="%1　"/>
      <w:lvlJc w:val="left"/>
      <w:pPr>
        <w:ind w:left="0" w:firstLine="400"/>
      </w:pPr>
      <w:rPr>
        <w:rFonts w:hint="eastAsia"/>
      </w:rPr>
    </w:lvl>
  </w:abstractNum>
  <w:abstractNum w:abstractNumId="4">
    <w:nsid w:val="699A7AF0"/>
    <w:multiLevelType w:val="multilevel"/>
    <w:tmpl w:val="699A7AF0"/>
    <w:lvl w:ilvl="0" w:tentative="0">
      <w:start w:val="1"/>
      <w:numFmt w:val="japaneseCounting"/>
      <w:lvlText w:val="%1、"/>
      <w:lvlJc w:val="left"/>
      <w:pPr>
        <w:ind w:left="720" w:hanging="720"/>
      </w:pPr>
      <w:rPr>
        <w:rFonts w:hint="eastAsia" w:cs="Times New Roman"/>
        <w:b w:val="0"/>
        <w:color w:val="auto"/>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04473"/>
    <w:rsid w:val="000353E4"/>
    <w:rsid w:val="000371B6"/>
    <w:rsid w:val="00041884"/>
    <w:rsid w:val="00050574"/>
    <w:rsid w:val="00055D18"/>
    <w:rsid w:val="000801FD"/>
    <w:rsid w:val="00085DC7"/>
    <w:rsid w:val="00086BE8"/>
    <w:rsid w:val="00091BBA"/>
    <w:rsid w:val="00093CB1"/>
    <w:rsid w:val="00097D3A"/>
    <w:rsid w:val="000A3C1B"/>
    <w:rsid w:val="000A5A19"/>
    <w:rsid w:val="000C12D4"/>
    <w:rsid w:val="000C7233"/>
    <w:rsid w:val="000E305F"/>
    <w:rsid w:val="000E7B28"/>
    <w:rsid w:val="00103A4C"/>
    <w:rsid w:val="00110976"/>
    <w:rsid w:val="00125DE1"/>
    <w:rsid w:val="00134FBB"/>
    <w:rsid w:val="00137857"/>
    <w:rsid w:val="00147DB2"/>
    <w:rsid w:val="00161A9C"/>
    <w:rsid w:val="00163B96"/>
    <w:rsid w:val="0016583F"/>
    <w:rsid w:val="00170FBE"/>
    <w:rsid w:val="0018078E"/>
    <w:rsid w:val="001819B9"/>
    <w:rsid w:val="001871CC"/>
    <w:rsid w:val="001A24EB"/>
    <w:rsid w:val="001A3AD1"/>
    <w:rsid w:val="001B5FA5"/>
    <w:rsid w:val="001C2881"/>
    <w:rsid w:val="001C3BDA"/>
    <w:rsid w:val="001D09A7"/>
    <w:rsid w:val="001D3CCC"/>
    <w:rsid w:val="001E526E"/>
    <w:rsid w:val="00203CF6"/>
    <w:rsid w:val="00223015"/>
    <w:rsid w:val="00245A85"/>
    <w:rsid w:val="00247900"/>
    <w:rsid w:val="0026380E"/>
    <w:rsid w:val="002674D8"/>
    <w:rsid w:val="002720D2"/>
    <w:rsid w:val="002724AA"/>
    <w:rsid w:val="00284B2E"/>
    <w:rsid w:val="002E25C1"/>
    <w:rsid w:val="002E34A0"/>
    <w:rsid w:val="002F0C1E"/>
    <w:rsid w:val="003005C7"/>
    <w:rsid w:val="003006F3"/>
    <w:rsid w:val="00302685"/>
    <w:rsid w:val="0031193C"/>
    <w:rsid w:val="003226FC"/>
    <w:rsid w:val="00335B09"/>
    <w:rsid w:val="003517AE"/>
    <w:rsid w:val="003841BF"/>
    <w:rsid w:val="0038781F"/>
    <w:rsid w:val="00392FB5"/>
    <w:rsid w:val="003A7361"/>
    <w:rsid w:val="003A778C"/>
    <w:rsid w:val="003B2D64"/>
    <w:rsid w:val="003B511D"/>
    <w:rsid w:val="003C27EA"/>
    <w:rsid w:val="003C6668"/>
    <w:rsid w:val="003C6AF5"/>
    <w:rsid w:val="003D1DF7"/>
    <w:rsid w:val="003E013E"/>
    <w:rsid w:val="003F002C"/>
    <w:rsid w:val="003F4F5F"/>
    <w:rsid w:val="004215D2"/>
    <w:rsid w:val="00435A85"/>
    <w:rsid w:val="00446A40"/>
    <w:rsid w:val="00450776"/>
    <w:rsid w:val="00473999"/>
    <w:rsid w:val="00475758"/>
    <w:rsid w:val="00477542"/>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47D4"/>
    <w:rsid w:val="004E56D9"/>
    <w:rsid w:val="004F0F78"/>
    <w:rsid w:val="004F4853"/>
    <w:rsid w:val="004F5D60"/>
    <w:rsid w:val="00504B78"/>
    <w:rsid w:val="00530FA9"/>
    <w:rsid w:val="00540D48"/>
    <w:rsid w:val="005417EA"/>
    <w:rsid w:val="00544392"/>
    <w:rsid w:val="00545F20"/>
    <w:rsid w:val="005527E5"/>
    <w:rsid w:val="005650AD"/>
    <w:rsid w:val="0056697D"/>
    <w:rsid w:val="00567370"/>
    <w:rsid w:val="0057651C"/>
    <w:rsid w:val="0058310B"/>
    <w:rsid w:val="00583B87"/>
    <w:rsid w:val="005912AA"/>
    <w:rsid w:val="00591B20"/>
    <w:rsid w:val="005A28E4"/>
    <w:rsid w:val="005A2C42"/>
    <w:rsid w:val="005B6934"/>
    <w:rsid w:val="005B7AD7"/>
    <w:rsid w:val="005C0A72"/>
    <w:rsid w:val="005D169E"/>
    <w:rsid w:val="005E6B06"/>
    <w:rsid w:val="00601983"/>
    <w:rsid w:val="00602370"/>
    <w:rsid w:val="00611009"/>
    <w:rsid w:val="00630019"/>
    <w:rsid w:val="00646167"/>
    <w:rsid w:val="00664795"/>
    <w:rsid w:val="00671147"/>
    <w:rsid w:val="00672F61"/>
    <w:rsid w:val="00677DB4"/>
    <w:rsid w:val="0068268A"/>
    <w:rsid w:val="0068443C"/>
    <w:rsid w:val="006948FD"/>
    <w:rsid w:val="00695F0E"/>
    <w:rsid w:val="006A4D42"/>
    <w:rsid w:val="006B482F"/>
    <w:rsid w:val="006C1152"/>
    <w:rsid w:val="006C7F0E"/>
    <w:rsid w:val="006E3DB3"/>
    <w:rsid w:val="006E627A"/>
    <w:rsid w:val="00704EEE"/>
    <w:rsid w:val="0071754A"/>
    <w:rsid w:val="007362D5"/>
    <w:rsid w:val="007368E8"/>
    <w:rsid w:val="00736FD4"/>
    <w:rsid w:val="00746EB5"/>
    <w:rsid w:val="00771256"/>
    <w:rsid w:val="00776334"/>
    <w:rsid w:val="00780E24"/>
    <w:rsid w:val="00787A90"/>
    <w:rsid w:val="00793DDD"/>
    <w:rsid w:val="007A25FA"/>
    <w:rsid w:val="007A2634"/>
    <w:rsid w:val="007B3216"/>
    <w:rsid w:val="007E2010"/>
    <w:rsid w:val="007F5CD8"/>
    <w:rsid w:val="007F67CC"/>
    <w:rsid w:val="00804F65"/>
    <w:rsid w:val="00842DFC"/>
    <w:rsid w:val="008450BD"/>
    <w:rsid w:val="00853E6F"/>
    <w:rsid w:val="00865654"/>
    <w:rsid w:val="00870FEB"/>
    <w:rsid w:val="00890D55"/>
    <w:rsid w:val="00893A92"/>
    <w:rsid w:val="00895149"/>
    <w:rsid w:val="008A0B0E"/>
    <w:rsid w:val="008A0FDD"/>
    <w:rsid w:val="008E0AA6"/>
    <w:rsid w:val="009225D0"/>
    <w:rsid w:val="009225FE"/>
    <w:rsid w:val="009276C3"/>
    <w:rsid w:val="009449B4"/>
    <w:rsid w:val="00951FAE"/>
    <w:rsid w:val="00955C64"/>
    <w:rsid w:val="00967AD8"/>
    <w:rsid w:val="00967E5C"/>
    <w:rsid w:val="00972AAD"/>
    <w:rsid w:val="00973747"/>
    <w:rsid w:val="00980E15"/>
    <w:rsid w:val="00980E85"/>
    <w:rsid w:val="00982041"/>
    <w:rsid w:val="00992C20"/>
    <w:rsid w:val="009B316D"/>
    <w:rsid w:val="009B56E3"/>
    <w:rsid w:val="009D231C"/>
    <w:rsid w:val="009D3F71"/>
    <w:rsid w:val="009E741C"/>
    <w:rsid w:val="009E7CDD"/>
    <w:rsid w:val="009F4293"/>
    <w:rsid w:val="009F61EB"/>
    <w:rsid w:val="00A02E6E"/>
    <w:rsid w:val="00A05B62"/>
    <w:rsid w:val="00A20C30"/>
    <w:rsid w:val="00A25CEF"/>
    <w:rsid w:val="00A4704C"/>
    <w:rsid w:val="00A5798F"/>
    <w:rsid w:val="00A64F73"/>
    <w:rsid w:val="00A669E2"/>
    <w:rsid w:val="00A92E08"/>
    <w:rsid w:val="00AA101B"/>
    <w:rsid w:val="00AB4824"/>
    <w:rsid w:val="00AC4444"/>
    <w:rsid w:val="00AC66CC"/>
    <w:rsid w:val="00AD3232"/>
    <w:rsid w:val="00AD3C1E"/>
    <w:rsid w:val="00AE5463"/>
    <w:rsid w:val="00AF4A09"/>
    <w:rsid w:val="00B02F55"/>
    <w:rsid w:val="00B07F1A"/>
    <w:rsid w:val="00B16D94"/>
    <w:rsid w:val="00B171A5"/>
    <w:rsid w:val="00B300A6"/>
    <w:rsid w:val="00B3500A"/>
    <w:rsid w:val="00B566C4"/>
    <w:rsid w:val="00B711E5"/>
    <w:rsid w:val="00B766AF"/>
    <w:rsid w:val="00B936BD"/>
    <w:rsid w:val="00B965BD"/>
    <w:rsid w:val="00BA1CC8"/>
    <w:rsid w:val="00BB7677"/>
    <w:rsid w:val="00BF369B"/>
    <w:rsid w:val="00C31B42"/>
    <w:rsid w:val="00C43775"/>
    <w:rsid w:val="00C460D6"/>
    <w:rsid w:val="00C472CE"/>
    <w:rsid w:val="00C53746"/>
    <w:rsid w:val="00C608B4"/>
    <w:rsid w:val="00C72A1B"/>
    <w:rsid w:val="00C9263A"/>
    <w:rsid w:val="00C928EB"/>
    <w:rsid w:val="00CB0563"/>
    <w:rsid w:val="00CB1097"/>
    <w:rsid w:val="00CD438B"/>
    <w:rsid w:val="00CF0708"/>
    <w:rsid w:val="00D137C2"/>
    <w:rsid w:val="00D21FA4"/>
    <w:rsid w:val="00D2458C"/>
    <w:rsid w:val="00D30EB7"/>
    <w:rsid w:val="00D47A16"/>
    <w:rsid w:val="00D53546"/>
    <w:rsid w:val="00D749F4"/>
    <w:rsid w:val="00D931C0"/>
    <w:rsid w:val="00D94717"/>
    <w:rsid w:val="00D94744"/>
    <w:rsid w:val="00DA141F"/>
    <w:rsid w:val="00DD299E"/>
    <w:rsid w:val="00DD2AF4"/>
    <w:rsid w:val="00DE1083"/>
    <w:rsid w:val="00DF1487"/>
    <w:rsid w:val="00E126EC"/>
    <w:rsid w:val="00E364D2"/>
    <w:rsid w:val="00E5096A"/>
    <w:rsid w:val="00E55527"/>
    <w:rsid w:val="00E700E2"/>
    <w:rsid w:val="00E70646"/>
    <w:rsid w:val="00EA6ED2"/>
    <w:rsid w:val="00EB66A6"/>
    <w:rsid w:val="00F04090"/>
    <w:rsid w:val="00F13735"/>
    <w:rsid w:val="00F2656E"/>
    <w:rsid w:val="00F37774"/>
    <w:rsid w:val="00F472D9"/>
    <w:rsid w:val="00F50F96"/>
    <w:rsid w:val="00F51F16"/>
    <w:rsid w:val="00F53703"/>
    <w:rsid w:val="00F73AA4"/>
    <w:rsid w:val="00F762F8"/>
    <w:rsid w:val="00F9005E"/>
    <w:rsid w:val="00FA0419"/>
    <w:rsid w:val="00FB08FE"/>
    <w:rsid w:val="00FB1379"/>
    <w:rsid w:val="00FC331E"/>
    <w:rsid w:val="00FD5DFE"/>
    <w:rsid w:val="00FE1249"/>
    <w:rsid w:val="00FE2318"/>
    <w:rsid w:val="00FE5CFF"/>
    <w:rsid w:val="05B955A9"/>
    <w:rsid w:val="0C911AFA"/>
    <w:rsid w:val="0D110A42"/>
    <w:rsid w:val="0DE15120"/>
    <w:rsid w:val="0F7909A8"/>
    <w:rsid w:val="0FE93A22"/>
    <w:rsid w:val="105D1B31"/>
    <w:rsid w:val="1487397E"/>
    <w:rsid w:val="15AE7FD9"/>
    <w:rsid w:val="19921C4D"/>
    <w:rsid w:val="1A4772B8"/>
    <w:rsid w:val="1A675CCB"/>
    <w:rsid w:val="1AAB0964"/>
    <w:rsid w:val="1B912C21"/>
    <w:rsid w:val="1F2D6B06"/>
    <w:rsid w:val="1F752E36"/>
    <w:rsid w:val="21002179"/>
    <w:rsid w:val="22A52928"/>
    <w:rsid w:val="234A77AC"/>
    <w:rsid w:val="23894BA9"/>
    <w:rsid w:val="252218B8"/>
    <w:rsid w:val="25EA35B4"/>
    <w:rsid w:val="29521158"/>
    <w:rsid w:val="2B5B3134"/>
    <w:rsid w:val="2C8F0B18"/>
    <w:rsid w:val="303A0730"/>
    <w:rsid w:val="316424EB"/>
    <w:rsid w:val="33194A17"/>
    <w:rsid w:val="33B40159"/>
    <w:rsid w:val="35395E5F"/>
    <w:rsid w:val="37FC2926"/>
    <w:rsid w:val="39124E76"/>
    <w:rsid w:val="3D271595"/>
    <w:rsid w:val="3D33323A"/>
    <w:rsid w:val="3EA877F7"/>
    <w:rsid w:val="40A908BA"/>
    <w:rsid w:val="4405042F"/>
    <w:rsid w:val="4AB3020D"/>
    <w:rsid w:val="4C226D34"/>
    <w:rsid w:val="4D685148"/>
    <w:rsid w:val="4DD7293B"/>
    <w:rsid w:val="4E493DD8"/>
    <w:rsid w:val="51C632B8"/>
    <w:rsid w:val="52157E35"/>
    <w:rsid w:val="54DE3801"/>
    <w:rsid w:val="58415592"/>
    <w:rsid w:val="5C1C2E1C"/>
    <w:rsid w:val="5CE220FC"/>
    <w:rsid w:val="5DFD28D7"/>
    <w:rsid w:val="5EC6574C"/>
    <w:rsid w:val="611132B9"/>
    <w:rsid w:val="62F04A54"/>
    <w:rsid w:val="63772297"/>
    <w:rsid w:val="63EE34BC"/>
    <w:rsid w:val="68A43AD7"/>
    <w:rsid w:val="6C1A549F"/>
    <w:rsid w:val="6F674ABD"/>
    <w:rsid w:val="7066285B"/>
    <w:rsid w:val="70BA2651"/>
    <w:rsid w:val="733A21E7"/>
    <w:rsid w:val="75106CE6"/>
    <w:rsid w:val="75822D8C"/>
    <w:rsid w:val="75AA195E"/>
    <w:rsid w:val="78016779"/>
    <w:rsid w:val="7A8770A4"/>
    <w:rsid w:val="7B7B4F8D"/>
    <w:rsid w:val="7BA30B19"/>
    <w:rsid w:val="7C0E5F18"/>
    <w:rsid w:val="7C9557AD"/>
    <w:rsid w:val="7CF240BC"/>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semiHidden/>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kern w:val="0"/>
      <w:sz w:val="20"/>
      <w:szCs w:val="20"/>
    </w:rPr>
  </w:style>
  <w:style w:type="paragraph" w:styleId="6">
    <w:name w:val="annotation text"/>
    <w:basedOn w:val="1"/>
    <w:link w:val="29"/>
    <w:semiHidden/>
    <w:unhideWhenUsed/>
    <w:qFormat/>
    <w:uiPriority w:val="99"/>
    <w:pPr>
      <w:jc w:val="left"/>
    </w:pPr>
  </w:style>
  <w:style w:type="paragraph" w:styleId="7">
    <w:name w:val="Body Text"/>
    <w:basedOn w:val="1"/>
    <w:link w:val="23"/>
    <w:unhideWhenUsed/>
    <w:qFormat/>
    <w:uiPriority w:val="99"/>
    <w:pPr>
      <w:spacing w:after="120"/>
    </w:pPr>
  </w:style>
  <w:style w:type="paragraph" w:styleId="8">
    <w:name w:val="Plain Text"/>
    <w:basedOn w:val="1"/>
    <w:next w:val="9"/>
    <w:link w:val="34"/>
    <w:qFormat/>
    <w:uiPriority w:val="0"/>
    <w:rPr>
      <w:rFonts w:ascii="宋体" w:hAnsi="Courier New"/>
    </w:rPr>
  </w:style>
  <w:style w:type="paragraph" w:styleId="9">
    <w:name w:val="Date"/>
    <w:basedOn w:val="1"/>
    <w:next w:val="1"/>
    <w:semiHidden/>
    <w:unhideWhenUsed/>
    <w:qFormat/>
    <w:uiPriority w:val="99"/>
    <w:pPr>
      <w:ind w:left="100" w:leftChars="2500"/>
    </w:pPr>
  </w:style>
  <w:style w:type="paragraph" w:styleId="10">
    <w:name w:val="Balloon Text"/>
    <w:basedOn w:val="1"/>
    <w:link w:val="31"/>
    <w:semiHidden/>
    <w:unhideWhenUsed/>
    <w:qFormat/>
    <w:uiPriority w:val="99"/>
    <w:rPr>
      <w:sz w:val="18"/>
      <w:szCs w:val="18"/>
    </w:rPr>
  </w:style>
  <w:style w:type="paragraph" w:styleId="11">
    <w:name w:val="footer"/>
    <w:basedOn w:val="1"/>
    <w:link w:val="28"/>
    <w:unhideWhenUsed/>
    <w:qFormat/>
    <w:uiPriority w:val="99"/>
    <w:pPr>
      <w:tabs>
        <w:tab w:val="center" w:pos="4153"/>
        <w:tab w:val="right" w:pos="8306"/>
      </w:tabs>
      <w:snapToGrid w:val="0"/>
      <w:jc w:val="left"/>
    </w:pPr>
    <w:rPr>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autoRedefine/>
    <w:semiHidden/>
    <w:unhideWhenUsed/>
    <w:qFormat/>
    <w:uiPriority w:val="39"/>
    <w:pPr>
      <w:ind w:left="420" w:leftChars="200"/>
    </w:pPr>
  </w:style>
  <w:style w:type="paragraph" w:styleId="1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5">
    <w:name w:val="annotation subject"/>
    <w:basedOn w:val="6"/>
    <w:next w:val="6"/>
    <w:link w:val="30"/>
    <w:semiHidden/>
    <w:unhideWhenUsed/>
    <w:qFormat/>
    <w:uiPriority w:val="99"/>
    <w:rPr>
      <w:b/>
      <w:bCs/>
    </w:rPr>
  </w:style>
  <w:style w:type="paragraph" w:styleId="16">
    <w:name w:val="Body Text First Indent"/>
    <w:basedOn w:val="7"/>
    <w:link w:val="24"/>
    <w:unhideWhenUsed/>
    <w:qFormat/>
    <w:uiPriority w:val="99"/>
    <w:pPr>
      <w:ind w:firstLine="420" w:firstLineChars="100"/>
    </w:pPr>
  </w:style>
  <w:style w:type="character" w:styleId="19">
    <w:name w:val="Strong"/>
    <w:basedOn w:val="18"/>
    <w:qFormat/>
    <w:uiPriority w:val="22"/>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styleId="21">
    <w:name w:val="annotation reference"/>
    <w:basedOn w:val="18"/>
    <w:unhideWhenUsed/>
    <w:qFormat/>
    <w:uiPriority w:val="99"/>
    <w:rPr>
      <w:sz w:val="21"/>
      <w:szCs w:val="21"/>
    </w:rPr>
  </w:style>
  <w:style w:type="paragraph" w:styleId="22">
    <w:name w:val="List Paragraph"/>
    <w:basedOn w:val="1"/>
    <w:qFormat/>
    <w:uiPriority w:val="34"/>
    <w:pPr>
      <w:ind w:firstLine="420" w:firstLineChars="200"/>
    </w:pPr>
    <w:rPr>
      <w:rFonts w:ascii="Times New Roman" w:hAnsi="Times New Roman" w:eastAsia="宋体" w:cs="Times New Roman"/>
      <w:szCs w:val="24"/>
    </w:rPr>
  </w:style>
  <w:style w:type="character" w:customStyle="1" w:styleId="23">
    <w:name w:val="正文文本 Char"/>
    <w:basedOn w:val="18"/>
    <w:link w:val="7"/>
    <w:qFormat/>
    <w:uiPriority w:val="99"/>
  </w:style>
  <w:style w:type="character" w:customStyle="1" w:styleId="24">
    <w:name w:val="正文首行缩进 Char"/>
    <w:basedOn w:val="23"/>
    <w:link w:val="16"/>
    <w:qFormat/>
    <w:uiPriority w:val="99"/>
  </w:style>
  <w:style w:type="character" w:customStyle="1" w:styleId="25">
    <w:name w:val="标题 1 Char"/>
    <w:basedOn w:val="18"/>
    <w:link w:val="2"/>
    <w:qFormat/>
    <w:uiPriority w:val="9"/>
    <w:rPr>
      <w:b/>
      <w:bCs/>
      <w:kern w:val="44"/>
      <w:sz w:val="44"/>
      <w:szCs w:val="44"/>
    </w:rPr>
  </w:style>
  <w:style w:type="character" w:customStyle="1" w:styleId="26">
    <w:name w:val="标题 2 Char"/>
    <w:basedOn w:val="18"/>
    <w:link w:val="3"/>
    <w:qFormat/>
    <w:uiPriority w:val="9"/>
    <w:rPr>
      <w:rFonts w:asciiTheme="majorHAnsi" w:hAnsiTheme="majorHAnsi" w:eastAsiaTheme="majorEastAsia" w:cstheme="majorBidi"/>
      <w:b/>
      <w:bCs/>
      <w:kern w:val="2"/>
      <w:sz w:val="32"/>
      <w:szCs w:val="32"/>
    </w:rPr>
  </w:style>
  <w:style w:type="character" w:customStyle="1" w:styleId="27">
    <w:name w:val="页眉 Char"/>
    <w:basedOn w:val="18"/>
    <w:link w:val="12"/>
    <w:qFormat/>
    <w:uiPriority w:val="99"/>
    <w:rPr>
      <w:rFonts w:asciiTheme="minorHAnsi" w:hAnsiTheme="minorHAnsi" w:eastAsiaTheme="minorEastAsia" w:cstheme="minorBidi"/>
      <w:kern w:val="2"/>
      <w:sz w:val="18"/>
      <w:szCs w:val="18"/>
    </w:rPr>
  </w:style>
  <w:style w:type="character" w:customStyle="1" w:styleId="28">
    <w:name w:val="页脚 Char"/>
    <w:basedOn w:val="18"/>
    <w:link w:val="11"/>
    <w:qFormat/>
    <w:uiPriority w:val="99"/>
    <w:rPr>
      <w:rFonts w:asciiTheme="minorHAnsi" w:hAnsiTheme="minorHAnsi" w:eastAsiaTheme="minorEastAsia" w:cstheme="minorBidi"/>
      <w:kern w:val="2"/>
      <w:sz w:val="18"/>
      <w:szCs w:val="18"/>
    </w:rPr>
  </w:style>
  <w:style w:type="character" w:customStyle="1" w:styleId="29">
    <w:name w:val="批注文字 Char"/>
    <w:basedOn w:val="18"/>
    <w:link w:val="6"/>
    <w:semiHidden/>
    <w:qFormat/>
    <w:uiPriority w:val="99"/>
    <w:rPr>
      <w:rFonts w:asciiTheme="minorHAnsi" w:hAnsiTheme="minorHAnsi" w:eastAsiaTheme="minorEastAsia" w:cstheme="minorBidi"/>
      <w:kern w:val="2"/>
      <w:sz w:val="21"/>
      <w:szCs w:val="22"/>
    </w:rPr>
  </w:style>
  <w:style w:type="character" w:customStyle="1" w:styleId="30">
    <w:name w:val="批注主题 Char"/>
    <w:basedOn w:val="29"/>
    <w:link w:val="15"/>
    <w:semiHidden/>
    <w:qFormat/>
    <w:uiPriority w:val="99"/>
    <w:rPr>
      <w:rFonts w:asciiTheme="minorHAnsi" w:hAnsiTheme="minorHAnsi" w:eastAsiaTheme="minorEastAsia" w:cstheme="minorBidi"/>
      <w:b/>
      <w:bCs/>
      <w:kern w:val="2"/>
      <w:sz w:val="21"/>
      <w:szCs w:val="22"/>
    </w:rPr>
  </w:style>
  <w:style w:type="character" w:customStyle="1" w:styleId="31">
    <w:name w:val="批注框文本 Char"/>
    <w:basedOn w:val="18"/>
    <w:link w:val="10"/>
    <w:semiHidden/>
    <w:qFormat/>
    <w:uiPriority w:val="99"/>
    <w:rPr>
      <w:rFonts w:asciiTheme="minorHAnsi" w:hAnsiTheme="minorHAnsi" w:eastAsiaTheme="minorEastAsia" w:cstheme="minorBidi"/>
      <w:kern w:val="2"/>
      <w:sz w:val="18"/>
      <w:szCs w:val="18"/>
    </w:rPr>
  </w:style>
  <w:style w:type="paragraph" w:customStyle="1" w:styleId="32">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character" w:customStyle="1" w:styleId="33">
    <w:name w:val="标题 3 Char"/>
    <w:basedOn w:val="18"/>
    <w:link w:val="4"/>
    <w:semiHidden/>
    <w:qFormat/>
    <w:uiPriority w:val="9"/>
    <w:rPr>
      <w:b/>
      <w:bCs/>
      <w:kern w:val="2"/>
      <w:sz w:val="32"/>
      <w:szCs w:val="32"/>
    </w:rPr>
  </w:style>
  <w:style w:type="character" w:customStyle="1" w:styleId="34">
    <w:name w:val="纯文本 Char"/>
    <w:link w:val="8"/>
    <w:qFormat/>
    <w:uiPriority w:val="99"/>
    <w:rPr>
      <w:rFonts w:ascii="宋体" w:hAnsi="Courier New"/>
      <w:kern w:val="2"/>
      <w:sz w:val="21"/>
      <w:szCs w:val="22"/>
    </w:rPr>
  </w:style>
  <w:style w:type="paragraph" w:customStyle="1" w:styleId="35">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6">
    <w:name w:val="纯文本 Char1"/>
    <w:semiHidden/>
    <w:qFormat/>
    <w:locked/>
    <w:uiPriority w:val="0"/>
    <w:rPr>
      <w:rFonts w:ascii="宋体" w:hAnsi="Courier New" w:eastAsia="宋体" w:cs="Times New Roman"/>
      <w:lang w:val="zh-CN" w:eastAsia="zh-CN"/>
    </w:rPr>
  </w:style>
  <w:style w:type="paragraph" w:customStyle="1" w:styleId="37">
    <w:name w:val="标题3（正文）"/>
    <w:basedOn w:val="1"/>
    <w:next w:val="38"/>
    <w:qFormat/>
    <w:uiPriority w:val="0"/>
    <w:pPr>
      <w:outlineLvl w:val="2"/>
    </w:pPr>
    <w:rPr>
      <w:b/>
    </w:rPr>
  </w:style>
  <w:style w:type="paragraph" w:customStyle="1" w:styleId="38">
    <w:name w:val="*正文"/>
    <w:basedOn w:val="1"/>
    <w:qFormat/>
    <w:uiPriority w:val="0"/>
    <w:pPr>
      <w:spacing w:line="300" w:lineRule="auto"/>
      <w:ind w:left="840" w:firstLine="480"/>
    </w:pPr>
    <w:rPr>
      <w:rFonts w:ascii="宋体" w:hAnsi="宋体" w:eastAsia="宋体" w:cs="仿宋_GB2312"/>
      <w:kern w:val="0"/>
      <w:sz w:val="24"/>
    </w:rPr>
  </w:style>
  <w:style w:type="paragraph" w:customStyle="1" w:styleId="39">
    <w:name w:val="标题2"/>
    <w:basedOn w:val="1"/>
    <w:next w:val="1"/>
    <w:qFormat/>
    <w:uiPriority w:val="0"/>
    <w:pPr>
      <w:outlineLvl w:val="1"/>
    </w:pPr>
    <w:rPr>
      <w:b/>
    </w:rPr>
  </w:style>
  <w:style w:type="paragraph" w:customStyle="1" w:styleId="40">
    <w:name w:val="标题3（文件格式）"/>
    <w:basedOn w:val="1"/>
    <w:next w:val="1"/>
    <w:qFormat/>
    <w:uiPriority w:val="0"/>
    <w:pPr>
      <w:spacing w:line="480" w:lineRule="exact"/>
      <w:outlineLvl w:val="2"/>
    </w:pPr>
    <w:rPr>
      <w:rFonts w:hAnsi="宋体"/>
      <w:b/>
      <w:color w:val="000000"/>
      <w:sz w:val="30"/>
      <w:szCs w:val="44"/>
    </w:rPr>
  </w:style>
  <w:style w:type="table" w:customStyle="1" w:styleId="41">
    <w:name w:val="Table Normal"/>
    <w:semiHidden/>
    <w:unhideWhenUsed/>
    <w:qFormat/>
    <w:uiPriority w:val="0"/>
    <w:tblPr>
      <w:tblCellMar>
        <w:top w:w="0" w:type="dxa"/>
        <w:left w:w="0" w:type="dxa"/>
        <w:bottom w:w="0" w:type="dxa"/>
        <w:right w:w="0" w:type="dxa"/>
      </w:tblCellMar>
    </w:tblPr>
  </w:style>
  <w:style w:type="paragraph" w:customStyle="1" w:styleId="42">
    <w:name w:val="Table Text"/>
    <w:basedOn w:val="1"/>
    <w:semiHidden/>
    <w:qFormat/>
    <w:uiPriority w:val="0"/>
    <w:rPr>
      <w:rFonts w:ascii="宋体" w:hAnsi="宋体" w:eastAsia="宋体" w:cs="宋体"/>
      <w:sz w:val="19"/>
      <w:szCs w:val="19"/>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8126</Words>
  <Characters>8471</Characters>
  <Lines>73</Lines>
  <Paragraphs>20</Paragraphs>
  <TotalTime>30</TotalTime>
  <ScaleCrop>false</ScaleCrop>
  <LinksUpToDate>false</LinksUpToDate>
  <CharactersWithSpaces>9751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2026-05-07T15:30:00Z</dcterms:created>
  <dc:creator>Windows</dc:creator>
  <cp:lastModifiedBy> RONG</cp:lastModifiedBy>
  <dcterms:modified xsi:type="dcterms:W3CDTF">2026-05-25T02:47:42Z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eyJoZGlkIjoiMDQ0ZTdmOTFlZjc0OWU0NDhmMzA1YTM2NmI5MDg1MzIiLCJ1c2VySWQiOiI0MDk0NTEyMTIifQ==</vt:lpwstr>
  </property>
  <property fmtid="{D5CDD505-2E9C-101B-9397-08002B2CF9AE}" pid="4" name="ICV">
    <vt:lpwstr>9524948B977645F9A6B266657EFD5749_12</vt:lpwstr>
  </property>
</Properties>
</file>