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lang w:val="en-US" w:eastAsia="zh-CN"/>
        </w:rPr>
        <w:t>2026年春季消防设备更新采购</w:t>
      </w:r>
      <w:r>
        <w:rPr>
          <w:rFonts w:hint="eastAsia" w:ascii="Arial" w:hAnsi="Arial" w:cs="Arial"/>
          <w:b/>
          <w:sz w:val="28"/>
          <w:szCs w:val="32"/>
        </w:rPr>
        <w:t>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w:t>
      </w:r>
      <w:r>
        <w:rPr>
          <w:rFonts w:hint="eastAsia" w:ascii="Arial" w:hAnsi="Arial" w:cs="Arial"/>
          <w:b/>
          <w:kern w:val="0"/>
          <w:sz w:val="22"/>
          <w:szCs w:val="24"/>
          <w:lang w:val="en-US" w:eastAsia="zh-CN" w:bidi="en-US"/>
        </w:rPr>
        <w:t>12</w:t>
      </w:r>
      <w:r>
        <w:rPr>
          <w:rFonts w:ascii="Arial" w:hAnsi="Arial" w:cs="Arial"/>
          <w:kern w:val="0"/>
          <w:sz w:val="22"/>
          <w:szCs w:val="24"/>
          <w:lang w:bidi="en-US"/>
        </w:rPr>
        <w:t xml:space="preserve">                              发布日期：</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5</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8</w:t>
      </w:r>
      <w:r>
        <w:rPr>
          <w:rFonts w:hint="eastAsia" w:ascii="Arial" w:hAnsi="Arial" w:cs="Arial"/>
          <w:b/>
          <w:kern w:val="0"/>
          <w:sz w:val="22"/>
          <w:szCs w:val="24"/>
          <w:lang w:bidi="en-US"/>
        </w:rPr>
        <w:t>日</w:t>
      </w:r>
    </w:p>
    <w:p w14:paraId="3021FA2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2026</w:t>
      </w:r>
      <w:r>
        <w:rPr>
          <w:rFonts w:hint="eastAsia" w:ascii="Arial" w:hAnsi="Arial" w:cs="Arial"/>
          <w:bCs/>
          <w:kern w:val="0"/>
          <w:sz w:val="24"/>
          <w:szCs w:val="28"/>
          <w:lang w:val="en-US" w:eastAsia="zh-CN" w:bidi="en-US"/>
        </w:rPr>
        <w:t>年</w:t>
      </w:r>
      <w:r>
        <w:rPr>
          <w:rFonts w:hint="eastAsia" w:ascii="Arial" w:hAnsi="Arial" w:cs="Arial"/>
          <w:bCs/>
          <w:kern w:val="0"/>
          <w:sz w:val="24"/>
          <w:szCs w:val="28"/>
          <w:lang w:bidi="en-US"/>
        </w:rPr>
        <w:t>春季</w:t>
      </w:r>
      <w:r>
        <w:rPr>
          <w:rFonts w:hint="eastAsia" w:ascii="Arial" w:hAnsi="Arial" w:cs="Arial"/>
          <w:bCs/>
          <w:kern w:val="0"/>
          <w:sz w:val="24"/>
          <w:szCs w:val="28"/>
          <w:lang w:val="en-US" w:eastAsia="zh-CN" w:bidi="en-US"/>
        </w:rPr>
        <w:t>消防设备更新采购</w:t>
      </w:r>
    </w:p>
    <w:p w14:paraId="2C37862B">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项目预算金额：（人民币大写）</w:t>
      </w:r>
      <w:r>
        <w:rPr>
          <w:rFonts w:hint="eastAsia" w:ascii="Arial" w:hAnsi="Arial" w:cs="Arial"/>
          <w:bCs/>
          <w:kern w:val="0"/>
          <w:sz w:val="24"/>
          <w:szCs w:val="28"/>
          <w:lang w:val="en-US" w:eastAsia="zh-CN" w:bidi="en-US"/>
        </w:rPr>
        <w:t>柒</w:t>
      </w:r>
      <w:r>
        <w:rPr>
          <w:rFonts w:hint="eastAsia" w:ascii="Arial" w:hAnsi="Arial" w:cs="Arial"/>
          <w:bCs/>
          <w:kern w:val="0"/>
          <w:sz w:val="24"/>
          <w:szCs w:val="28"/>
          <w:lang w:bidi="en-US"/>
        </w:rPr>
        <w:t>万</w:t>
      </w:r>
      <w:r>
        <w:rPr>
          <w:rFonts w:hint="eastAsia" w:ascii="Arial" w:hAnsi="Arial" w:cs="Arial"/>
          <w:bCs/>
          <w:kern w:val="0"/>
          <w:sz w:val="24"/>
          <w:szCs w:val="28"/>
          <w:lang w:val="en-US" w:eastAsia="zh-CN" w:bidi="en-US"/>
        </w:rPr>
        <w:t>柒</w:t>
      </w:r>
      <w:r>
        <w:rPr>
          <w:rFonts w:hint="eastAsia" w:ascii="Arial" w:hAnsi="Arial" w:cs="Arial"/>
          <w:bCs/>
          <w:kern w:val="0"/>
          <w:sz w:val="24"/>
          <w:szCs w:val="28"/>
          <w:lang w:bidi="en-US"/>
        </w:rPr>
        <w:t>仟</w:t>
      </w:r>
      <w:r>
        <w:rPr>
          <w:rFonts w:hint="eastAsia" w:ascii="Arial" w:hAnsi="Arial" w:cs="Arial"/>
          <w:bCs/>
          <w:kern w:val="0"/>
          <w:sz w:val="24"/>
          <w:szCs w:val="28"/>
          <w:lang w:val="en-US" w:eastAsia="zh-CN" w:bidi="en-US"/>
        </w:rPr>
        <w:t>捌</w:t>
      </w:r>
      <w:r>
        <w:rPr>
          <w:rFonts w:hint="eastAsia" w:ascii="Arial" w:hAnsi="Arial" w:cs="Arial"/>
          <w:bCs/>
          <w:kern w:val="0"/>
          <w:sz w:val="24"/>
          <w:szCs w:val="28"/>
          <w:lang w:bidi="en-US"/>
        </w:rPr>
        <w:t>佰</w:t>
      </w:r>
      <w:r>
        <w:rPr>
          <w:rFonts w:hint="eastAsia" w:ascii="Arial" w:hAnsi="Arial" w:cs="Arial"/>
          <w:bCs/>
          <w:kern w:val="0"/>
          <w:sz w:val="24"/>
          <w:szCs w:val="28"/>
          <w:lang w:val="en-US" w:eastAsia="zh-CN" w:bidi="en-US"/>
        </w:rPr>
        <w:t>壹</w:t>
      </w:r>
      <w:r>
        <w:rPr>
          <w:rFonts w:hint="eastAsia" w:ascii="Arial" w:hAnsi="Arial" w:cs="Arial"/>
          <w:bCs/>
          <w:kern w:val="0"/>
          <w:sz w:val="24"/>
          <w:szCs w:val="28"/>
          <w:lang w:bidi="en-US"/>
        </w:rPr>
        <w:t>拾</w:t>
      </w:r>
      <w:r>
        <w:rPr>
          <w:rFonts w:ascii="Arial" w:hAnsi="Arial" w:cs="Arial"/>
          <w:bCs/>
          <w:kern w:val="0"/>
          <w:sz w:val="24"/>
          <w:szCs w:val="28"/>
          <w:lang w:bidi="en-US"/>
        </w:rPr>
        <w:t>元整（¥</w:t>
      </w:r>
      <w:r>
        <w:rPr>
          <w:rFonts w:hint="eastAsia" w:ascii="Arial" w:hAnsi="Arial" w:cs="Arial"/>
          <w:bCs/>
          <w:kern w:val="0"/>
          <w:sz w:val="24"/>
          <w:szCs w:val="28"/>
          <w:lang w:bidi="en-US"/>
        </w:rPr>
        <w:t>77810.00</w:t>
      </w:r>
      <w:r>
        <w:rPr>
          <w:rFonts w:ascii="Arial" w:hAnsi="Arial" w:cs="Arial"/>
          <w:bCs/>
          <w:kern w:val="0"/>
          <w:sz w:val="24"/>
          <w:szCs w:val="28"/>
          <w:lang w:bidi="en-US"/>
        </w:rPr>
        <w:t>）</w:t>
      </w:r>
    </w:p>
    <w:p w14:paraId="00384894">
      <w:pPr>
        <w:numPr>
          <w:ilvl w:val="0"/>
          <w:numId w:val="1"/>
        </w:numPr>
        <w:spacing w:line="520" w:lineRule="exact"/>
        <w:rPr>
          <w:rFonts w:ascii="Arial" w:hAnsi="Arial" w:cs="Arial"/>
          <w:bCs/>
          <w:color w:val="FF0000"/>
          <w:kern w:val="0"/>
          <w:sz w:val="24"/>
          <w:szCs w:val="28"/>
          <w:lang w:bidi="en-US"/>
        </w:rPr>
      </w:pPr>
      <w:r>
        <w:rPr>
          <w:rFonts w:hint="eastAsia" w:ascii="Arial" w:hAnsi="Arial" w:cs="Arial"/>
          <w:bCs/>
          <w:color w:val="auto"/>
          <w:kern w:val="0"/>
          <w:sz w:val="24"/>
          <w:szCs w:val="28"/>
          <w:lang w:bidi="en-US"/>
        </w:rPr>
        <w:t>评标方法</w:t>
      </w:r>
      <w:r>
        <w:rPr>
          <w:rFonts w:hint="eastAsia" w:ascii="Arial" w:hAnsi="Arial" w:cs="Arial"/>
          <w:bCs/>
          <w:kern w:val="0"/>
          <w:sz w:val="24"/>
          <w:szCs w:val="28"/>
          <w:lang w:bidi="en-US"/>
        </w:rPr>
        <w:t>：最低评标价法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6903"/>
        <w:gridCol w:w="941"/>
        <w:gridCol w:w="75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6903" w:type="dxa"/>
            <w:shd w:val="clear" w:color="auto" w:fill="auto"/>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941" w:type="dxa"/>
            <w:shd w:val="clear" w:color="auto" w:fill="auto"/>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755" w:type="dxa"/>
            <w:shd w:val="clear" w:color="auto" w:fill="auto"/>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616" w:type="dxa"/>
            <w:vAlign w:val="top"/>
          </w:tcPr>
          <w:p w14:paraId="710523F7">
            <w:pPr>
              <w:keepNext w:val="0"/>
              <w:keepLines w:val="0"/>
              <w:widowControl/>
              <w:suppressLineNumbers w:val="0"/>
              <w:jc w:val="both"/>
              <w:textAlignment w:val="bottom"/>
              <w:rPr>
                <w:rFonts w:ascii="Arial" w:hAnsi="Arial" w:cs="Arial"/>
                <w:color w:val="000000"/>
                <w:kern w:val="0"/>
                <w:sz w:val="18"/>
                <w:szCs w:val="18"/>
              </w:rPr>
            </w:pPr>
            <w:r>
              <w:rPr>
                <w:rFonts w:hint="eastAsia" w:ascii="宋体" w:hAnsi="宋体" w:eastAsia="宋体" w:cs="宋体"/>
                <w:i w:val="0"/>
                <w:iCs w:val="0"/>
                <w:color w:val="auto"/>
                <w:kern w:val="0"/>
                <w:sz w:val="20"/>
                <w:szCs w:val="20"/>
                <w:u w:val="none"/>
                <w:lang w:val="en-US" w:eastAsia="zh-CN" w:bidi="ar"/>
              </w:rPr>
              <w:t>1</w:t>
            </w:r>
          </w:p>
        </w:tc>
        <w:tc>
          <w:tcPr>
            <w:tcW w:w="851" w:type="dxa"/>
            <w:shd w:val="clear" w:color="auto" w:fill="auto"/>
            <w:noWrap/>
            <w:vAlign w:val="top"/>
          </w:tcPr>
          <w:p w14:paraId="2656D231">
            <w:pPr>
              <w:keepNext w:val="0"/>
              <w:keepLines w:val="0"/>
              <w:widowControl/>
              <w:suppressLineNumbers w:val="0"/>
              <w:jc w:val="both"/>
              <w:textAlignment w:val="bottom"/>
              <w:rPr>
                <w:rFonts w:ascii="Arial" w:hAnsi="Arial" w:cs="Arial"/>
                <w:color w:val="000000"/>
                <w:kern w:val="0"/>
                <w:sz w:val="18"/>
                <w:szCs w:val="18"/>
              </w:rPr>
            </w:pPr>
            <w:r>
              <w:rPr>
                <w:rFonts w:hint="eastAsia" w:ascii="宋体" w:hAnsi="宋体" w:eastAsia="宋体" w:cs="宋体"/>
                <w:i w:val="0"/>
                <w:iCs w:val="0"/>
                <w:color w:val="auto"/>
                <w:kern w:val="0"/>
                <w:sz w:val="20"/>
                <w:szCs w:val="20"/>
                <w:u w:val="none"/>
                <w:lang w:val="en-US" w:eastAsia="zh-CN" w:bidi="ar"/>
              </w:rPr>
              <w:t>干粉灭火器</w:t>
            </w:r>
          </w:p>
        </w:tc>
        <w:tc>
          <w:tcPr>
            <w:tcW w:w="6903" w:type="dxa"/>
            <w:shd w:val="clear" w:color="auto" w:fill="auto"/>
            <w:noWrap/>
            <w:vAlign w:val="top"/>
          </w:tcPr>
          <w:p w14:paraId="77E9F0F0">
            <w:pPr>
              <w:rPr>
                <w:rFonts w:hint="eastAsia"/>
                <w:b w:val="0"/>
                <w:bCs w:val="0"/>
                <w:color w:val="auto"/>
                <w:highlight w:val="none"/>
                <w:lang w:val="en-US" w:eastAsia="zh-CN"/>
              </w:rPr>
            </w:pPr>
            <w:r>
              <w:rPr>
                <w:rFonts w:hint="eastAsia"/>
                <w:b w:val="0"/>
                <w:bCs w:val="0"/>
                <w:color w:val="auto"/>
                <w:highlight w:val="none"/>
                <w:lang w:val="en-US" w:eastAsia="zh-CN"/>
              </w:rPr>
              <w:t>1.ABC 型手提式干粉灭火器；</w:t>
            </w:r>
          </w:p>
          <w:p w14:paraId="30543708">
            <w:pPr>
              <w:rPr>
                <w:rFonts w:hint="eastAsia"/>
                <w:b w:val="0"/>
                <w:bCs w:val="0"/>
                <w:color w:val="auto"/>
                <w:highlight w:val="none"/>
                <w:lang w:val="en-US" w:eastAsia="zh-CN"/>
              </w:rPr>
            </w:pPr>
            <w:r>
              <w:rPr>
                <w:rFonts w:hint="eastAsia"/>
                <w:b w:val="0"/>
                <w:bCs w:val="0"/>
                <w:color w:val="auto"/>
                <w:highlight w:val="none"/>
                <w:lang w:val="en-US" w:eastAsia="zh-CN"/>
              </w:rPr>
              <w:t>2.产品型号:MF/ABCE4；</w:t>
            </w:r>
          </w:p>
          <w:p w14:paraId="6563700D">
            <w:pPr>
              <w:rPr>
                <w:rFonts w:hint="eastAsia"/>
                <w:b w:val="0"/>
                <w:bCs w:val="0"/>
                <w:color w:val="auto"/>
                <w:highlight w:val="none"/>
                <w:lang w:val="en-US" w:eastAsia="zh-CN"/>
              </w:rPr>
            </w:pPr>
            <w:r>
              <w:rPr>
                <w:rFonts w:hint="eastAsia"/>
                <w:b w:val="0"/>
                <w:bCs w:val="0"/>
                <w:color w:val="auto"/>
                <w:highlight w:val="none"/>
                <w:lang w:val="en-US" w:eastAsia="zh-CN"/>
              </w:rPr>
              <w:t>3.产品标准:GB4351-2023；</w:t>
            </w:r>
          </w:p>
          <w:p w14:paraId="10B0B762">
            <w:pPr>
              <w:rPr>
                <w:rFonts w:hint="eastAsia"/>
                <w:b w:val="0"/>
                <w:bCs w:val="0"/>
                <w:color w:val="auto"/>
                <w:highlight w:val="none"/>
                <w:lang w:val="en-US" w:eastAsia="zh-CN"/>
              </w:rPr>
            </w:pPr>
            <w:r>
              <w:rPr>
                <w:rFonts w:hint="eastAsia"/>
                <w:b w:val="0"/>
                <w:bCs w:val="0"/>
                <w:color w:val="auto"/>
                <w:highlight w:val="none"/>
                <w:lang w:val="en-US" w:eastAsia="zh-CN"/>
              </w:rPr>
              <w:t>4.灭火剂量:4KG±0.1KG；</w:t>
            </w:r>
          </w:p>
          <w:p w14:paraId="5B164D5E">
            <w:pPr>
              <w:rPr>
                <w:rFonts w:hint="eastAsia"/>
                <w:b w:val="0"/>
                <w:bCs w:val="0"/>
                <w:color w:val="auto"/>
                <w:highlight w:val="none"/>
                <w:lang w:val="en-US" w:eastAsia="zh-CN"/>
              </w:rPr>
            </w:pPr>
            <w:r>
              <w:rPr>
                <w:rFonts w:hint="eastAsia"/>
                <w:b w:val="0"/>
                <w:bCs w:val="0"/>
                <w:color w:val="auto"/>
                <w:highlight w:val="none"/>
                <w:lang w:val="en-US" w:eastAsia="zh-CN"/>
              </w:rPr>
              <w:t>灭火器产品整体质保期不低于 5 年；所有供货产品生产日期须为交货当日起前 6 个月内生产，严禁超期库存产品供货，供货时须随货提供产品出厂合格证、生产日期证明及质保承诺书。</w:t>
            </w:r>
          </w:p>
        </w:tc>
        <w:tc>
          <w:tcPr>
            <w:tcW w:w="941" w:type="dxa"/>
            <w:shd w:val="clear" w:color="auto" w:fill="auto"/>
            <w:noWrap/>
            <w:vAlign w:val="top"/>
          </w:tcPr>
          <w:p w14:paraId="1AB08FDC">
            <w:pPr>
              <w:keepNext w:val="0"/>
              <w:keepLines w:val="0"/>
              <w:widowControl/>
              <w:suppressLineNumbers w:val="0"/>
              <w:jc w:val="both"/>
              <w:textAlignment w:val="bottom"/>
              <w:rPr>
                <w:rFonts w:ascii="Arial" w:hAnsi="Arial" w:cs="Arial"/>
                <w:color w:val="FF0000"/>
                <w:kern w:val="0"/>
                <w:szCs w:val="21"/>
              </w:rPr>
            </w:pPr>
            <w:r>
              <w:rPr>
                <w:rFonts w:hint="eastAsia" w:ascii="宋体" w:hAnsi="宋体" w:eastAsia="宋体" w:cs="宋体"/>
                <w:i w:val="0"/>
                <w:iCs w:val="0"/>
                <w:color w:val="auto"/>
                <w:kern w:val="0"/>
                <w:sz w:val="22"/>
                <w:szCs w:val="22"/>
                <w:u w:val="none"/>
                <w:lang w:val="en-US" w:eastAsia="zh-CN" w:bidi="ar"/>
              </w:rPr>
              <w:t>1350</w:t>
            </w:r>
          </w:p>
        </w:tc>
        <w:tc>
          <w:tcPr>
            <w:tcW w:w="755" w:type="dxa"/>
            <w:shd w:val="clear" w:color="auto" w:fill="auto"/>
            <w:noWrap/>
            <w:vAlign w:val="top"/>
          </w:tcPr>
          <w:p w14:paraId="2339F74B">
            <w:pPr>
              <w:keepNext w:val="0"/>
              <w:keepLines w:val="0"/>
              <w:widowControl/>
              <w:suppressLineNumbers w:val="0"/>
              <w:jc w:val="both"/>
              <w:textAlignment w:val="bottom"/>
              <w:rPr>
                <w:rFonts w:hint="default" w:ascii="Arial" w:hAnsi="Arial" w:cs="Arial"/>
                <w:color w:val="FF0000"/>
                <w:kern w:val="0"/>
                <w:szCs w:val="21"/>
                <w:lang w:val="en-US"/>
              </w:rPr>
            </w:pPr>
            <w:r>
              <w:rPr>
                <w:rFonts w:hint="eastAsia" w:ascii="宋体" w:hAnsi="宋体" w:eastAsia="宋体" w:cs="宋体"/>
                <w:i w:val="0"/>
                <w:iCs w:val="0"/>
                <w:color w:val="auto"/>
                <w:kern w:val="0"/>
                <w:sz w:val="22"/>
                <w:szCs w:val="22"/>
                <w:u w:val="none"/>
                <w:lang w:val="en-US" w:eastAsia="zh-CN" w:bidi="ar"/>
              </w:rPr>
              <w:t>瓶</w:t>
            </w:r>
          </w:p>
        </w:tc>
      </w:tr>
      <w:tr w14:paraId="0517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6" w:type="dxa"/>
            <w:vAlign w:val="top"/>
          </w:tcPr>
          <w:p w14:paraId="18D56019">
            <w:pPr>
              <w:keepNext w:val="0"/>
              <w:keepLines w:val="0"/>
              <w:widowControl/>
              <w:suppressLineNumbers w:val="0"/>
              <w:jc w:val="both"/>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51" w:type="dxa"/>
            <w:shd w:val="clear" w:color="auto" w:fill="auto"/>
            <w:noWrap/>
            <w:vAlign w:val="top"/>
          </w:tcPr>
          <w:p w14:paraId="3753927C">
            <w:pPr>
              <w:keepNext w:val="0"/>
              <w:keepLines w:val="0"/>
              <w:widowControl/>
              <w:suppressLineNumbers w:val="0"/>
              <w:jc w:val="both"/>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水带</w:t>
            </w:r>
          </w:p>
        </w:tc>
        <w:tc>
          <w:tcPr>
            <w:tcW w:w="6903" w:type="dxa"/>
            <w:shd w:val="clear" w:color="auto" w:fill="auto"/>
            <w:noWrap/>
            <w:vAlign w:val="top"/>
          </w:tcPr>
          <w:p w14:paraId="2DFC2920">
            <w:pPr>
              <w:keepNext w:val="0"/>
              <w:keepLines w:val="0"/>
              <w:widowControl/>
              <w:numPr>
                <w:ilvl w:val="0"/>
                <w:numId w:val="0"/>
              </w:numPr>
              <w:suppressLineNumbers w:val="0"/>
              <w:ind w:left="0" w:leftChars="0" w:firstLine="0" w:firstLineChars="0"/>
              <w:jc w:val="both"/>
              <w:textAlignment w:val="bottom"/>
              <w:rPr>
                <w:rFonts w:hint="eastAsia" w:eastAsiaTheme="minorEastAsia"/>
                <w:b w:val="0"/>
                <w:bCs w:val="0"/>
                <w:color w:val="auto"/>
                <w:highlight w:val="none"/>
                <w:lang w:val="en-US" w:eastAsia="zh-CN"/>
              </w:rPr>
            </w:pPr>
            <w:r>
              <w:rPr>
                <w:rFonts w:hint="eastAsia"/>
                <w:highlight w:val="none"/>
                <w:lang w:eastAsia="zh-CN"/>
              </w:rPr>
              <w:t>口径</w:t>
            </w:r>
            <w:r>
              <w:rPr>
                <w:rFonts w:hint="eastAsia"/>
                <w:highlight w:val="none"/>
                <w:lang w:val="en-US" w:eastAsia="zh-CN"/>
              </w:rPr>
              <w:t>50</w:t>
            </w:r>
            <w:r>
              <w:rPr>
                <w:rFonts w:hint="eastAsia"/>
                <w:highlight w:val="none"/>
                <w:lang w:eastAsia="zh-CN"/>
              </w:rPr>
              <w:t>mm,压力≥1.0Mpa，长度≥</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w:t>
            </w:r>
            <w:r>
              <w:rPr>
                <w:rFonts w:hint="eastAsia"/>
                <w:highlight w:val="none"/>
                <w:lang w:eastAsia="zh-CN"/>
              </w:rPr>
              <w:t>mm/每盘，材质涤纶长丝，包括函水带及接口。</w:t>
            </w:r>
            <w:r>
              <w:rPr>
                <w:rFonts w:hint="eastAsia"/>
                <w:highlight w:val="none"/>
                <w:lang w:val="en-US" w:eastAsia="zh-CN"/>
              </w:rPr>
              <w:t>水带</w:t>
            </w:r>
            <w:r>
              <w:rPr>
                <w:rFonts w:hint="eastAsia"/>
                <w:highlight w:val="none"/>
                <w:lang w:eastAsia="zh-CN"/>
              </w:rPr>
              <w:t>产品整体质保期不低于 5 年；所有供货产品生产日期须为交货当日起前 6 个月内生产，严禁超期库存产品供货，供货时须随货提供产品出厂合格证、生产日期证明及质保承诺</w:t>
            </w:r>
            <w:r>
              <w:rPr>
                <w:rFonts w:hint="eastAsia"/>
                <w:b w:val="0"/>
                <w:bCs w:val="0"/>
                <w:color w:val="auto"/>
                <w:highlight w:val="none"/>
                <w:lang w:val="en-US" w:eastAsia="zh-CN"/>
              </w:rPr>
              <w:t>书</w:t>
            </w:r>
            <w:r>
              <w:rPr>
                <w:rFonts w:hint="eastAsia"/>
                <w:highlight w:val="none"/>
                <w:lang w:eastAsia="zh-CN"/>
              </w:rPr>
              <w:t>。</w:t>
            </w:r>
          </w:p>
        </w:tc>
        <w:tc>
          <w:tcPr>
            <w:tcW w:w="941" w:type="dxa"/>
            <w:shd w:val="clear" w:color="auto" w:fill="auto"/>
            <w:noWrap/>
            <w:vAlign w:val="top"/>
          </w:tcPr>
          <w:p w14:paraId="1198A3EE">
            <w:pPr>
              <w:keepNext w:val="0"/>
              <w:keepLines w:val="0"/>
              <w:widowControl/>
              <w:suppressLineNumbers w:val="0"/>
              <w:jc w:val="both"/>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755" w:type="dxa"/>
            <w:shd w:val="clear" w:color="auto" w:fill="auto"/>
            <w:noWrap/>
            <w:vAlign w:val="top"/>
          </w:tcPr>
          <w:p w14:paraId="428934F1">
            <w:pPr>
              <w:keepNext w:val="0"/>
              <w:keepLines w:val="0"/>
              <w:widowControl/>
              <w:suppressLineNumbers w:val="0"/>
              <w:jc w:val="both"/>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盘</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67" w:type="dxa"/>
            <w:gridSpan w:val="2"/>
            <w:vAlign w:val="top"/>
          </w:tcPr>
          <w:p w14:paraId="53C54A08">
            <w:pPr>
              <w:widowControl/>
              <w:jc w:val="both"/>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52CEBA40">
            <w:pPr>
              <w:spacing w:line="360" w:lineRule="auto"/>
              <w:jc w:val="left"/>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w:t>
            </w:r>
            <w:r>
              <w:rPr>
                <w:rFonts w:hint="eastAsia" w:cstheme="minorBidi"/>
                <w:kern w:val="2"/>
                <w:sz w:val="21"/>
                <w:szCs w:val="22"/>
                <w:lang w:val="en-US" w:eastAsia="zh-CN" w:bidi="ar-SA"/>
              </w:rPr>
              <w:t>.</w:t>
            </w:r>
            <w:r>
              <w:rPr>
                <w:rFonts w:hint="eastAsia" w:asciiTheme="minorHAnsi" w:hAnsiTheme="minorHAnsi" w:eastAsiaTheme="minorEastAsia" w:cstheme="minorBidi"/>
                <w:kern w:val="2"/>
                <w:sz w:val="21"/>
                <w:szCs w:val="22"/>
                <w:lang w:val="en-US" w:eastAsia="zh-CN" w:bidi="ar-SA"/>
              </w:rPr>
              <w:t>供货时间：自合同签订之日起</w:t>
            </w:r>
            <w:r>
              <w:rPr>
                <w:rFonts w:hint="eastAsia" w:cstheme="minorBidi"/>
                <w:kern w:val="2"/>
                <w:sz w:val="21"/>
                <w:szCs w:val="22"/>
                <w:u w:val="single"/>
                <w:lang w:val="en-US" w:eastAsia="zh-CN" w:bidi="ar-SA"/>
              </w:rPr>
              <w:t>15</w:t>
            </w:r>
            <w:r>
              <w:rPr>
                <w:rFonts w:hint="eastAsia" w:asciiTheme="minorHAnsi" w:hAnsiTheme="minorHAnsi" w:eastAsiaTheme="minorEastAsia" w:cstheme="minorBidi"/>
                <w:kern w:val="2"/>
                <w:sz w:val="21"/>
                <w:szCs w:val="22"/>
                <w:lang w:val="en-US" w:eastAsia="zh-CN" w:bidi="ar-SA"/>
              </w:rPr>
              <w:t>日内验收合格并交付使用。</w:t>
            </w:r>
          </w:p>
          <w:p w14:paraId="352C8C90">
            <w:pPr>
              <w:pStyle w:val="7"/>
              <w:rPr>
                <w:rFonts w:hint="eastAsia" w:cs="Times New Roman" w:eastAsiaTheme="minorEastAsia"/>
                <w:b w:val="0"/>
                <w:bCs w:val="0"/>
                <w:color w:val="auto"/>
                <w:sz w:val="21"/>
                <w:szCs w:val="21"/>
                <w:lang w:val="en-US" w:eastAsia="zh-CN"/>
              </w:rPr>
            </w:pPr>
            <w:r>
              <w:rPr>
                <w:rFonts w:hint="eastAsia" w:cs="Times New Roman"/>
                <w:b w:val="0"/>
                <w:bCs w:val="0"/>
                <w:color w:val="auto"/>
                <w:sz w:val="21"/>
                <w:szCs w:val="21"/>
              </w:rPr>
              <w:t>2.技术支持和服务</w:t>
            </w:r>
            <w:r>
              <w:rPr>
                <w:rFonts w:hint="eastAsia" w:cs="Times New Roman"/>
                <w:b w:val="0"/>
                <w:bCs w:val="0"/>
                <w:color w:val="auto"/>
                <w:sz w:val="21"/>
                <w:szCs w:val="21"/>
                <w:lang w:val="en-US" w:eastAsia="zh-CN"/>
              </w:rPr>
              <w:t>要求</w:t>
            </w:r>
          </w:p>
          <w:p w14:paraId="06FBDB3E">
            <w:pPr>
              <w:snapToGrid w:val="0"/>
              <w:spacing w:line="276" w:lineRule="auto"/>
              <w:rPr>
                <w:rFonts w:ascii="宋体" w:hAnsi="宋体"/>
                <w:color w:val="auto"/>
                <w:kern w:val="0"/>
                <w:szCs w:val="22"/>
              </w:rPr>
            </w:pPr>
            <w:r>
              <w:rPr>
                <w:rFonts w:hint="eastAsia" w:ascii="宋体" w:hAnsi="宋体"/>
                <w:color w:val="auto"/>
                <w:kern w:val="0"/>
                <w:szCs w:val="22"/>
                <w:lang w:val="en-US" w:eastAsia="zh-CN"/>
              </w:rPr>
              <w:t>（1）本</w:t>
            </w:r>
            <w:r>
              <w:rPr>
                <w:rFonts w:ascii="宋体" w:hAnsi="宋体"/>
                <w:color w:val="auto"/>
                <w:kern w:val="0"/>
                <w:szCs w:val="22"/>
              </w:rPr>
              <w:t>项目所提供的全部货物（含硬件、软件及服务）必须完全满足</w:t>
            </w:r>
            <w:r>
              <w:rPr>
                <w:rFonts w:hint="eastAsia" w:ascii="宋体" w:hAnsi="宋体"/>
                <w:color w:val="auto"/>
                <w:kern w:val="0"/>
                <w:szCs w:val="22"/>
                <w:lang w:val="en-US" w:eastAsia="zh-CN"/>
              </w:rPr>
              <w:t>报价</w:t>
            </w:r>
            <w:r>
              <w:rPr>
                <w:rFonts w:ascii="宋体" w:hAnsi="宋体"/>
                <w:color w:val="auto"/>
                <w:kern w:val="0"/>
                <w:szCs w:val="22"/>
              </w:rPr>
              <w:t>文件所述要求，如中标</w:t>
            </w:r>
            <w:r>
              <w:rPr>
                <w:rFonts w:hint="eastAsia" w:ascii="宋体" w:hAnsi="宋体"/>
                <w:color w:val="auto"/>
                <w:kern w:val="0"/>
                <w:szCs w:val="22"/>
                <w:lang w:eastAsia="zh-CN"/>
              </w:rPr>
              <w:t>报价人</w:t>
            </w:r>
            <w:r>
              <w:rPr>
                <w:rFonts w:ascii="宋体" w:hAnsi="宋体"/>
                <w:color w:val="auto"/>
                <w:kern w:val="0"/>
                <w:szCs w:val="22"/>
              </w:rPr>
              <w:t>在</w:t>
            </w:r>
            <w:r>
              <w:rPr>
                <w:rFonts w:hint="eastAsia" w:ascii="宋体" w:hAnsi="宋体"/>
                <w:color w:val="auto"/>
                <w:kern w:val="0"/>
                <w:szCs w:val="22"/>
                <w:lang w:eastAsia="zh-CN"/>
              </w:rPr>
              <w:t>报价</w:t>
            </w:r>
            <w:r>
              <w:rPr>
                <w:rFonts w:ascii="宋体" w:hAnsi="宋体"/>
                <w:color w:val="auto"/>
                <w:kern w:val="0"/>
                <w:szCs w:val="22"/>
              </w:rPr>
              <w:t>文件中有承诺正偏离的应按其正偏离内容执行。</w:t>
            </w:r>
          </w:p>
          <w:p w14:paraId="13EB96C7">
            <w:pPr>
              <w:pStyle w:val="7"/>
              <w:jc w:val="both"/>
              <w:rPr>
                <w:rFonts w:ascii="宋体" w:hAnsi="宋体"/>
                <w:color w:val="auto"/>
                <w:kern w:val="0"/>
                <w:szCs w:val="22"/>
              </w:rPr>
            </w:pPr>
            <w:r>
              <w:rPr>
                <w:rFonts w:hint="eastAsia" w:ascii="宋体" w:hAnsi="宋体"/>
                <w:color w:val="auto"/>
                <w:kern w:val="0"/>
                <w:szCs w:val="22"/>
                <w:lang w:val="en-US" w:eastAsia="zh-CN"/>
              </w:rPr>
              <w:t>（2）本</w:t>
            </w:r>
            <w:r>
              <w:rPr>
                <w:rFonts w:ascii="宋体" w:hAnsi="宋体"/>
                <w:color w:val="auto"/>
                <w:kern w:val="0"/>
                <w:szCs w:val="22"/>
              </w:rPr>
              <w:t>项目所提供的全部货物</w:t>
            </w:r>
            <w:r>
              <w:rPr>
                <w:rFonts w:hint="eastAsia" w:ascii="宋体" w:hAnsi="宋体"/>
                <w:color w:val="auto"/>
                <w:kern w:val="0"/>
                <w:szCs w:val="22"/>
                <w:lang w:val="en-US" w:eastAsia="zh-CN"/>
              </w:rPr>
              <w:t>必须是全新完好的、符合国家及行业相关标准、可追溯并享受原厂售后服务的正规合格产品</w:t>
            </w:r>
            <w:r>
              <w:rPr>
                <w:rFonts w:ascii="宋体" w:hAnsi="宋体"/>
                <w:color w:val="auto"/>
                <w:kern w:val="0"/>
                <w:szCs w:val="22"/>
              </w:rPr>
              <w:t>。</w:t>
            </w:r>
            <w:r>
              <w:rPr>
                <w:rFonts w:hint="eastAsia"/>
                <w:color w:val="auto"/>
              </w:rPr>
              <w:t>若产品在运输过程中损坏须无偿调换同样产品，以达到供货要求。国家有关规定报价人承诺实行“三包”（包退、包换、包修）服务，其他售后服务按成交人提交的售后服务承诺书执行。</w:t>
            </w:r>
            <w:r>
              <w:rPr>
                <w:rFonts w:ascii="宋体" w:hAnsi="宋体"/>
                <w:color w:val="auto"/>
                <w:kern w:val="0"/>
                <w:szCs w:val="22"/>
              </w:rPr>
              <w:t>中标</w:t>
            </w:r>
            <w:r>
              <w:rPr>
                <w:rFonts w:hint="eastAsia" w:ascii="宋体" w:hAnsi="宋体"/>
                <w:color w:val="auto"/>
                <w:kern w:val="0"/>
                <w:szCs w:val="22"/>
                <w:lang w:eastAsia="zh-CN"/>
              </w:rPr>
              <w:t>报价人</w:t>
            </w:r>
            <w:r>
              <w:rPr>
                <w:rFonts w:ascii="宋体" w:hAnsi="宋体"/>
                <w:color w:val="auto"/>
                <w:kern w:val="0"/>
                <w:szCs w:val="22"/>
              </w:rPr>
              <w:t>售后服务中维护使用的备品备件及易损件须为原厂全新配件，未经采购人同意不得使用非原厂配件。且进行维护的人员须为中标</w:t>
            </w:r>
            <w:r>
              <w:rPr>
                <w:rFonts w:hint="eastAsia" w:ascii="宋体" w:hAnsi="宋体"/>
                <w:color w:val="auto"/>
                <w:kern w:val="0"/>
                <w:szCs w:val="22"/>
                <w:lang w:eastAsia="zh-CN"/>
              </w:rPr>
              <w:t>报价人</w:t>
            </w:r>
            <w:r>
              <w:rPr>
                <w:rFonts w:ascii="宋体" w:hAnsi="宋体"/>
                <w:color w:val="auto"/>
                <w:kern w:val="0"/>
                <w:szCs w:val="22"/>
              </w:rPr>
              <w:t>认可的有资质专业技术人员。</w:t>
            </w:r>
          </w:p>
          <w:p w14:paraId="2E2783FA">
            <w:pPr>
              <w:snapToGrid w:val="0"/>
              <w:spacing w:line="276" w:lineRule="auto"/>
              <w:rPr>
                <w:rFonts w:ascii="宋体" w:hAnsi="宋体"/>
                <w:color w:val="auto"/>
                <w:kern w:val="0"/>
                <w:szCs w:val="22"/>
              </w:rPr>
            </w:pPr>
            <w:r>
              <w:rPr>
                <w:rFonts w:hint="eastAsia" w:ascii="宋体" w:hAnsi="宋体"/>
                <w:color w:val="auto"/>
                <w:kern w:val="0"/>
                <w:szCs w:val="22"/>
                <w:lang w:eastAsia="zh-CN"/>
              </w:rPr>
              <w:t>（</w:t>
            </w:r>
            <w:r>
              <w:rPr>
                <w:rFonts w:hint="eastAsia" w:ascii="宋体" w:hAnsi="宋体"/>
                <w:color w:val="auto"/>
                <w:kern w:val="0"/>
                <w:szCs w:val="22"/>
                <w:lang w:val="en-US" w:eastAsia="zh-CN"/>
              </w:rPr>
              <w:t>3</w:t>
            </w:r>
            <w:r>
              <w:rPr>
                <w:rFonts w:hint="eastAsia" w:ascii="宋体" w:hAnsi="宋体"/>
                <w:color w:val="auto"/>
                <w:kern w:val="0"/>
                <w:szCs w:val="22"/>
                <w:lang w:eastAsia="zh-CN"/>
              </w:rPr>
              <w:t>）</w:t>
            </w:r>
            <w:r>
              <w:rPr>
                <w:rFonts w:ascii="宋体" w:hAnsi="宋体"/>
                <w:color w:val="auto"/>
                <w:kern w:val="0"/>
                <w:szCs w:val="22"/>
              </w:rPr>
              <w:t>对于</w:t>
            </w:r>
            <w:r>
              <w:rPr>
                <w:rFonts w:hint="eastAsia" w:ascii="宋体" w:hAnsi="宋体"/>
                <w:color w:val="auto"/>
                <w:kern w:val="0"/>
                <w:szCs w:val="22"/>
                <w:lang w:val="en-US" w:eastAsia="zh-CN"/>
              </w:rPr>
              <w:t>采购文件中定制货物，报价人必须在报价文件中列出所投货物重要组件的品牌型号；</w:t>
            </w:r>
            <w:r>
              <w:rPr>
                <w:rFonts w:ascii="宋体" w:hAnsi="宋体"/>
                <w:color w:val="auto"/>
                <w:kern w:val="0"/>
                <w:szCs w:val="22"/>
              </w:rPr>
              <w:t>在送达采购人指定地点时已完成组装的定制货物，由于其组装状态，难以对货物的重要组件进行核实，</w:t>
            </w:r>
            <w:r>
              <w:rPr>
                <w:rFonts w:hint="eastAsia" w:ascii="宋体" w:hAnsi="宋体"/>
                <w:color w:val="auto"/>
                <w:kern w:val="0"/>
                <w:szCs w:val="22"/>
                <w:lang w:eastAsia="zh-CN"/>
              </w:rPr>
              <w:t>报价人</w:t>
            </w:r>
            <w:r>
              <w:rPr>
                <w:rFonts w:hint="eastAsia" w:ascii="宋体" w:hAnsi="宋体"/>
                <w:color w:val="auto"/>
                <w:kern w:val="0"/>
                <w:szCs w:val="22"/>
                <w:lang w:val="en-US" w:eastAsia="zh-CN"/>
              </w:rPr>
              <w:t>必须</w:t>
            </w:r>
            <w:r>
              <w:rPr>
                <w:rFonts w:ascii="宋体" w:hAnsi="宋体"/>
                <w:color w:val="auto"/>
                <w:kern w:val="0"/>
                <w:szCs w:val="22"/>
              </w:rPr>
              <w:t>在上述货物生产组装前十个工作日书面告知采购人，采购人可根据项目实际情况，到生产厂家进行预验收，以便确认所供货物是否按合同约定采用相应的组件</w:t>
            </w:r>
            <w:r>
              <w:rPr>
                <w:rFonts w:hint="eastAsia" w:ascii="宋体" w:hAnsi="宋体"/>
                <w:color w:val="auto"/>
                <w:kern w:val="0"/>
                <w:szCs w:val="22"/>
                <w:lang w:eastAsia="zh-CN"/>
              </w:rPr>
              <w:t>、</w:t>
            </w:r>
            <w:r>
              <w:rPr>
                <w:rFonts w:hint="eastAsia" w:ascii="宋体" w:hAnsi="宋体"/>
                <w:color w:val="auto"/>
                <w:kern w:val="0"/>
                <w:szCs w:val="22"/>
                <w:lang w:val="en-US" w:eastAsia="zh-CN"/>
              </w:rPr>
              <w:t>生产工艺及</w:t>
            </w:r>
            <w:r>
              <w:rPr>
                <w:rFonts w:ascii="宋体" w:hAnsi="宋体"/>
                <w:color w:val="auto"/>
                <w:kern w:val="0"/>
                <w:szCs w:val="22"/>
              </w:rPr>
              <w:t>参数是否达到合同约定，费用含在</w:t>
            </w:r>
            <w:r>
              <w:rPr>
                <w:rFonts w:hint="eastAsia" w:ascii="宋体" w:hAnsi="宋体"/>
                <w:color w:val="auto"/>
                <w:kern w:val="0"/>
                <w:szCs w:val="22"/>
                <w:lang w:eastAsia="zh-CN"/>
              </w:rPr>
              <w:t>报价</w:t>
            </w:r>
            <w:r>
              <w:rPr>
                <w:rFonts w:ascii="宋体" w:hAnsi="宋体"/>
                <w:color w:val="auto"/>
                <w:kern w:val="0"/>
                <w:szCs w:val="22"/>
              </w:rPr>
              <w:t>报价中。</w:t>
            </w:r>
          </w:p>
          <w:p w14:paraId="6FC6A803">
            <w:pPr>
              <w:widowControl/>
              <w:numPr>
                <w:ilvl w:val="0"/>
                <w:numId w:val="2"/>
              </w:numPr>
              <w:adjustRightInd w:val="0"/>
              <w:snapToGrid w:val="0"/>
              <w:spacing w:line="360" w:lineRule="auto"/>
              <w:jc w:val="left"/>
              <w:rPr>
                <w:rFonts w:hint="eastAsia" w:ascii="Arial" w:hAnsi="Arial" w:eastAsia="宋体" w:cs="Arial"/>
                <w:b w:val="0"/>
                <w:bCs w:val="0"/>
                <w:kern w:val="0"/>
                <w:sz w:val="21"/>
                <w:szCs w:val="21"/>
                <w:lang w:val="en-US" w:eastAsia="zh-CN"/>
              </w:rPr>
            </w:pPr>
            <w:r>
              <w:rPr>
                <w:rFonts w:ascii="Arial" w:hAnsi="Arial" w:eastAsia="宋体" w:cs="Arial"/>
                <w:b w:val="0"/>
                <w:bCs w:val="0"/>
                <w:kern w:val="0"/>
                <w:sz w:val="21"/>
                <w:szCs w:val="21"/>
              </w:rPr>
              <w:t>付款</w:t>
            </w:r>
            <w:r>
              <w:rPr>
                <w:rFonts w:hint="eastAsia" w:ascii="Arial" w:hAnsi="Arial" w:eastAsia="宋体" w:cs="Arial"/>
                <w:b w:val="0"/>
                <w:bCs w:val="0"/>
                <w:kern w:val="0"/>
                <w:sz w:val="21"/>
                <w:szCs w:val="21"/>
                <w:lang w:val="en-US" w:eastAsia="zh-CN"/>
              </w:rPr>
              <w:t>要求</w:t>
            </w:r>
          </w:p>
          <w:p w14:paraId="5744B91E">
            <w:pPr>
              <w:widowControl/>
              <w:numPr>
                <w:ilvl w:val="0"/>
                <w:numId w:val="0"/>
              </w:numPr>
              <w:adjustRightInd w:val="0"/>
              <w:snapToGrid w:val="0"/>
              <w:spacing w:line="360" w:lineRule="auto"/>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w:t>
            </w:r>
            <w:r>
              <w:rPr>
                <w:rFonts w:hint="eastAsia" w:ascii="Arial" w:hAnsi="Arial" w:eastAsia="宋体" w:cs="Arial"/>
                <w:kern w:val="0"/>
                <w:sz w:val="21"/>
                <w:szCs w:val="21"/>
              </w:rPr>
              <w:t>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val="0"/>
                <w:bCs w:val="0"/>
                <w:kern w:val="0"/>
                <w:sz w:val="21"/>
                <w:szCs w:val="21"/>
              </w:rPr>
            </w:pPr>
            <w:r>
              <w:rPr>
                <w:rFonts w:hint="eastAsia" w:ascii="Arial" w:hAnsi="Arial" w:eastAsia="宋体" w:cs="Arial"/>
                <w:b w:val="0"/>
                <w:bCs w:val="0"/>
                <w:kern w:val="0"/>
                <w:sz w:val="21"/>
                <w:szCs w:val="21"/>
                <w:lang w:val="en-US" w:eastAsia="zh-CN"/>
              </w:rPr>
              <w:t>4.</w:t>
            </w:r>
            <w:r>
              <w:rPr>
                <w:rFonts w:hint="eastAsia" w:ascii="Arial" w:hAnsi="Arial" w:eastAsia="宋体" w:cs="Arial"/>
                <w:b w:val="0"/>
                <w:bCs w:val="0"/>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4D5F73AF">
            <w:pPr>
              <w:pStyle w:val="7"/>
              <w:spacing w:line="360" w:lineRule="auto"/>
              <w:rPr>
                <w:rFonts w:hint="eastAsia" w:cs="Times New Roman"/>
                <w:sz w:val="21"/>
                <w:szCs w:val="21"/>
              </w:rPr>
            </w:pPr>
            <w:r>
              <w:rPr>
                <w:rFonts w:hint="eastAsia" w:ascii="Arial" w:hAnsi="Arial" w:eastAsia="宋体" w:cs="Arial"/>
                <w:b w:val="0"/>
                <w:bCs/>
                <w:kern w:val="0"/>
                <w:sz w:val="21"/>
                <w:szCs w:val="21"/>
              </w:rPr>
              <w:t>转账时注明：2026</w:t>
            </w:r>
            <w:r>
              <w:rPr>
                <w:rFonts w:hint="eastAsia" w:ascii="Arial" w:hAnsi="Arial" w:eastAsia="宋体" w:cs="Arial"/>
                <w:b w:val="0"/>
                <w:bCs/>
                <w:kern w:val="0"/>
                <w:sz w:val="21"/>
                <w:szCs w:val="21"/>
                <w:lang w:val="en-US" w:eastAsia="zh-CN"/>
              </w:rPr>
              <w:t>年</w:t>
            </w:r>
            <w:bookmarkStart w:id="55" w:name="_GoBack"/>
            <w:bookmarkEnd w:id="55"/>
            <w:r>
              <w:rPr>
                <w:rFonts w:hint="eastAsia" w:ascii="Arial" w:hAnsi="Arial" w:eastAsia="宋体" w:cs="Arial"/>
                <w:b w:val="0"/>
                <w:bCs/>
                <w:kern w:val="0"/>
                <w:sz w:val="21"/>
                <w:szCs w:val="21"/>
              </w:rPr>
              <w:t>春季</w:t>
            </w:r>
            <w:r>
              <w:rPr>
                <w:rFonts w:hint="eastAsia" w:ascii="Arial" w:hAnsi="Arial" w:eastAsia="宋体" w:cs="Arial"/>
                <w:b w:val="0"/>
                <w:bCs/>
                <w:kern w:val="0"/>
                <w:sz w:val="21"/>
                <w:szCs w:val="21"/>
                <w:lang w:val="en-US" w:eastAsia="zh-CN"/>
              </w:rPr>
              <w:t>消防设备更新采购</w:t>
            </w:r>
            <w:r>
              <w:rPr>
                <w:rFonts w:hint="eastAsia" w:ascii="Arial" w:hAnsi="Arial" w:eastAsia="宋体" w:cs="Arial"/>
                <w:b w:val="0"/>
                <w:bCs/>
                <w:kern w:val="0"/>
                <w:sz w:val="21"/>
                <w:szCs w:val="21"/>
              </w:rPr>
              <w:t>项目，采购编号</w:t>
            </w:r>
            <w:r>
              <w:rPr>
                <w:rFonts w:hint="eastAsia" w:ascii="Arial" w:hAnsi="Arial" w:eastAsia="宋体" w:cs="Arial"/>
                <w:b/>
                <w:bCs w:val="0"/>
                <w:color w:val="auto"/>
                <w:kern w:val="0"/>
                <w:sz w:val="21"/>
                <w:szCs w:val="21"/>
                <w:lang w:val="en-US" w:eastAsia="zh-CN"/>
              </w:rPr>
              <w:t>LZPU2026-</w:t>
            </w:r>
            <w:r>
              <w:rPr>
                <w:rFonts w:hint="eastAsia" w:ascii="Arial" w:hAnsi="Arial" w:eastAsia="宋体" w:cs="Arial"/>
                <w:b/>
                <w:bCs w:val="0"/>
                <w:color w:val="auto"/>
                <w:kern w:val="0"/>
                <w:sz w:val="21"/>
                <w:szCs w:val="21"/>
              </w:rPr>
              <w:t xml:space="preserve"> </w:t>
            </w:r>
            <w:r>
              <w:rPr>
                <w:rFonts w:hint="eastAsia" w:ascii="Arial" w:hAnsi="Arial" w:eastAsia="宋体" w:cs="Arial"/>
                <w:b/>
                <w:bCs w:val="0"/>
                <w:color w:val="auto"/>
                <w:kern w:val="0"/>
                <w:sz w:val="21"/>
                <w:szCs w:val="21"/>
                <w:lang w:val="en-US" w:eastAsia="zh-CN"/>
              </w:rPr>
              <w:t>12</w:t>
            </w:r>
            <w:r>
              <w:rPr>
                <w:rFonts w:hint="eastAsia" w:ascii="Arial" w:hAnsi="Arial" w:eastAsia="宋体" w:cs="Arial"/>
                <w:b w:val="0"/>
                <w:bCs/>
                <w:kern w:val="0"/>
                <w:sz w:val="21"/>
                <w:szCs w:val="21"/>
              </w:rPr>
              <w:t>履约保证金</w:t>
            </w: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rPr>
                <w:rFonts w:hint="eastAsia" w:cs="Times New Roman"/>
                <w:b w:val="0"/>
                <w:bCs w:val="0"/>
                <w:sz w:val="21"/>
                <w:szCs w:val="21"/>
                <w:lang w:val="en-US" w:eastAsia="zh-CN"/>
              </w:rPr>
            </w:pPr>
            <w:r>
              <w:rPr>
                <w:rFonts w:hint="eastAsia" w:cs="Times New Roman"/>
                <w:b w:val="0"/>
                <w:bCs w:val="0"/>
                <w:sz w:val="21"/>
                <w:szCs w:val="21"/>
                <w:lang w:val="en-US" w:eastAsia="zh-CN"/>
              </w:rPr>
              <w:t>5.验收要求</w:t>
            </w:r>
          </w:p>
          <w:p w14:paraId="5CB4ACEA">
            <w:pPr>
              <w:pStyle w:val="7"/>
              <w:rPr>
                <w:rFonts w:hint="eastAsia" w:cs="Times New Roman"/>
                <w:sz w:val="21"/>
                <w:szCs w:val="21"/>
                <w:lang w:val="en-US" w:eastAsia="zh-CN"/>
              </w:rPr>
            </w:pPr>
            <w:r>
              <w:rPr>
                <w:rFonts w:hint="eastAsia" w:cs="Times New Roman"/>
                <w:sz w:val="21"/>
                <w:szCs w:val="21"/>
                <w:lang w:val="en-US" w:eastAsia="zh-CN"/>
              </w:rPr>
              <w:t>（1）中标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rPr>
                <w:rFonts w:hint="eastAsia" w:cs="Times New Roman"/>
                <w:sz w:val="21"/>
                <w:szCs w:val="21"/>
                <w:lang w:val="en-US" w:eastAsia="zh-CN"/>
              </w:rPr>
            </w:pPr>
            <w:r>
              <w:rPr>
                <w:rFonts w:hint="eastAsia" w:cs="Times New Roman"/>
                <w:sz w:val="21"/>
                <w:szCs w:val="21"/>
                <w:lang w:val="en-US" w:eastAsia="zh-CN"/>
              </w:rPr>
              <w:t>（2）中标报价人须确保货物为原制造商制造（或原厂组装）的全新产品，无侵权行为、表面无划损、无任何缺陷隐患，在中国境内可依常规安全合法使用。</w:t>
            </w:r>
          </w:p>
          <w:p w14:paraId="67A65037">
            <w:pPr>
              <w:pStyle w:val="7"/>
              <w:rPr>
                <w:rFonts w:hint="eastAsia" w:cs="Times New Roman"/>
                <w:sz w:val="21"/>
                <w:szCs w:val="21"/>
                <w:lang w:val="en-US" w:eastAsia="zh-CN"/>
              </w:rPr>
            </w:pPr>
            <w:r>
              <w:rPr>
                <w:rFonts w:hint="eastAsia" w:cs="Times New Roman"/>
                <w:sz w:val="21"/>
                <w:szCs w:val="21"/>
                <w:lang w:val="en-US" w:eastAsia="zh-CN"/>
              </w:rPr>
              <w:t>（3）供货时中标报价人应将关键货物的用户手册、保修手册、有关单证资料及配备件等交付给采购人，使用操作及安全须知等重要资料应附有中文说明。</w:t>
            </w:r>
          </w:p>
          <w:p w14:paraId="71B062A1">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报价人授权代表未到场参加验收则视为供应商对验收过程及结果无异议。因货物质量问题发生争议时，由本地质量技术监督部门鉴定或委托具备资质的第三方机构鉴定。鉴定费（含运行产生全部费用）由中标报价人承担。</w:t>
            </w:r>
          </w:p>
          <w:p w14:paraId="53F20393">
            <w:pPr>
              <w:pStyle w:val="7"/>
              <w:rPr>
                <w:rFonts w:hint="eastAsia" w:cs="Times New Roman"/>
                <w:sz w:val="21"/>
                <w:szCs w:val="21"/>
                <w:lang w:val="en-US" w:eastAsia="zh-CN"/>
              </w:rPr>
            </w:pPr>
            <w:r>
              <w:rPr>
                <w:rFonts w:hint="eastAsia" w:cs="Times New Roman"/>
                <w:sz w:val="21"/>
                <w:szCs w:val="21"/>
                <w:lang w:val="en-US" w:eastAsia="zh-CN"/>
              </w:rPr>
              <w:t>（5）采购人有权委托第三方进行履约验收，履约验收费用（含运行耗材、验收专家费等全部费用）由中标报价人支付。报价人在报价时自行考虑。</w:t>
            </w:r>
          </w:p>
          <w:p w14:paraId="06063033">
            <w:pPr>
              <w:widowControl/>
              <w:jc w:val="left"/>
              <w:rPr>
                <w:rFonts w:ascii="Arial" w:hAnsi="Arial" w:cs="Arial"/>
                <w:color w:val="FF0000"/>
                <w:kern w:val="0"/>
                <w:szCs w:val="21"/>
              </w:rPr>
            </w:pPr>
            <w:r>
              <w:rPr>
                <w:rFonts w:hint="eastAsia" w:cs="Times New Roman"/>
                <w:sz w:val="21"/>
                <w:szCs w:val="21"/>
                <w:lang w:val="en-US" w:eastAsia="zh-CN"/>
              </w:rPr>
              <w:t>（6）如果验收时中标报价人所提供设备达不到采购项目的技术需求，在整改期限20日内中标报价人仍无法提供满足项目技术要求的设备，采购人可以终止项目，中标报价人须承担相应违约责任。</w:t>
            </w: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w:t>
      </w:r>
      <w:r>
        <w:rPr>
          <w:rFonts w:hint="eastAsia" w:asciiTheme="majorEastAsia" w:hAnsiTheme="majorEastAsia" w:eastAsiaTheme="majorEastAsia" w:cstheme="majorEastAsia"/>
          <w:color w:val="000000"/>
          <w:kern w:val="0"/>
          <w:sz w:val="24"/>
          <w:szCs w:val="28"/>
          <w:lang w:val="en-US" w:eastAsia="zh-CN"/>
        </w:rPr>
        <w:t>报价人</w:t>
      </w:r>
      <w:r>
        <w:rPr>
          <w:rFonts w:hint="eastAsia" w:asciiTheme="majorEastAsia" w:hAnsiTheme="majorEastAsia" w:eastAsiaTheme="majorEastAsia" w:cstheme="majorEastAsia"/>
          <w:color w:val="000000"/>
          <w:kern w:val="0"/>
          <w:sz w:val="24"/>
          <w:szCs w:val="28"/>
        </w:rPr>
        <w:t>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3"/>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b/>
          <w:bCs/>
          <w:color w:val="auto"/>
          <w:sz w:val="24"/>
          <w:szCs w:val="24"/>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8"/>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5</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18</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国有资产管理处将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4"/>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 w:val="0"/>
          <w:bCs w:val="0"/>
          <w:color w:val="auto"/>
          <w:kern w:val="0"/>
          <w:sz w:val="24"/>
          <w:szCs w:val="28"/>
          <w:lang w:val="en-US" w:eastAsia="zh-CN" w:bidi="en-US"/>
        </w:rPr>
        <w:t>陆露</w:t>
      </w:r>
      <w:r>
        <w:rPr>
          <w:rFonts w:hint="eastAsia" w:asciiTheme="majorEastAsia" w:hAnsiTheme="majorEastAsia" w:eastAsiaTheme="majorEastAsia" w:cstheme="majorEastAsia"/>
          <w:b w:val="0"/>
          <w:bCs w:val="0"/>
          <w:color w:val="auto"/>
          <w:kern w:val="0"/>
          <w:sz w:val="24"/>
          <w:szCs w:val="28"/>
          <w:lang w:bidi="en-US"/>
        </w:rPr>
        <w:t xml:space="preserve">     联系电话：13768898827 </w:t>
      </w:r>
      <w:r>
        <w:rPr>
          <w:rFonts w:hint="eastAsia" w:asciiTheme="majorEastAsia" w:hAnsiTheme="majorEastAsia" w:eastAsiaTheme="majorEastAsia" w:cstheme="majorEastAsia"/>
          <w:kern w:val="0"/>
          <w:sz w:val="24"/>
          <w:szCs w:val="28"/>
        </w:rPr>
        <w:t xml:space="preserve"> 。</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C265B17">
      <w:pPr>
        <w:widowControl/>
        <w:jc w:val="left"/>
        <w:rPr>
          <w:rFonts w:hint="eastAsia" w:asciiTheme="majorEastAsia" w:hAnsiTheme="majorEastAsia" w:eastAsiaTheme="majorEastAsia" w:cstheme="majorEastAsia"/>
          <w:sz w:val="24"/>
          <w:szCs w:val="24"/>
        </w:rPr>
      </w:pPr>
    </w:p>
    <w:p w14:paraId="14AE9005">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年</w:t>
      </w:r>
      <w:r>
        <w:rPr>
          <w:rFonts w:hint="eastAsia" w:asciiTheme="majorEastAsia" w:hAnsiTheme="majorEastAsia" w:eastAsiaTheme="majorEastAsia" w:cstheme="majorEastAsia"/>
          <w:b/>
          <w:sz w:val="24"/>
          <w:szCs w:val="24"/>
          <w:lang w:val="en-US" w:eastAsia="zh-CN"/>
        </w:rPr>
        <w:t>5</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8</w:t>
      </w:r>
      <w:r>
        <w:rPr>
          <w:rFonts w:hint="eastAsia" w:asciiTheme="majorEastAsia" w:hAnsiTheme="majorEastAsia" w:eastAsiaTheme="majorEastAsia" w:cstheme="majorEastAsia"/>
          <w:b/>
          <w:sz w:val="24"/>
          <w:szCs w:val="24"/>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4B771853">
      <w:pPr>
        <w:pStyle w:val="7"/>
      </w:pPr>
    </w:p>
    <w:p w14:paraId="03F17E08">
      <w:pPr>
        <w:pStyle w:val="7"/>
      </w:pPr>
    </w:p>
    <w:p w14:paraId="1D63A6F1">
      <w:pPr>
        <w:pStyle w:val="7"/>
      </w:pPr>
    </w:p>
    <w:p w14:paraId="6BCEF0FB">
      <w:pPr>
        <w:pStyle w:val="7"/>
      </w:pPr>
    </w:p>
    <w:p w14:paraId="3097BB4A">
      <w:pPr>
        <w:pStyle w:val="7"/>
      </w:pPr>
    </w:p>
    <w:p w14:paraId="069C23A9">
      <w:pPr>
        <w:pStyle w:val="7"/>
      </w:pPr>
    </w:p>
    <w:p w14:paraId="27D4F932">
      <w:pPr>
        <w:pStyle w:val="7"/>
      </w:pPr>
    </w:p>
    <w:p w14:paraId="73060C64">
      <w:pPr>
        <w:pStyle w:val="7"/>
      </w:pPr>
    </w:p>
    <w:p w14:paraId="63BDA45F">
      <w:pPr>
        <w:pStyle w:val="7"/>
      </w:pPr>
    </w:p>
    <w:p w14:paraId="59AE7CF2">
      <w:pPr>
        <w:pStyle w:val="7"/>
      </w:pPr>
    </w:p>
    <w:p w14:paraId="3DE51358">
      <w:pPr>
        <w:pStyle w:val="7"/>
      </w:pPr>
    </w:p>
    <w:p w14:paraId="051FD1B2">
      <w:pPr>
        <w:pStyle w:val="7"/>
      </w:pPr>
    </w:p>
    <w:p w14:paraId="524EC254">
      <w:pPr>
        <w:pStyle w:val="7"/>
      </w:pPr>
    </w:p>
    <w:p w14:paraId="49C7B40A">
      <w:pPr>
        <w:pStyle w:val="7"/>
      </w:pPr>
    </w:p>
    <w:p w14:paraId="2A0AED3C">
      <w:pPr>
        <w:pStyle w:val="7"/>
      </w:pPr>
    </w:p>
    <w:p w14:paraId="53EDADC8">
      <w:pPr>
        <w:pStyle w:val="7"/>
      </w:pPr>
    </w:p>
    <w:p w14:paraId="39E907EF">
      <w:pPr>
        <w:pStyle w:val="7"/>
      </w:pPr>
    </w:p>
    <w:p w14:paraId="62EDB1EF">
      <w:pPr>
        <w:pStyle w:val="7"/>
      </w:pPr>
    </w:p>
    <w:p w14:paraId="5C40B357">
      <w:pPr>
        <w:pStyle w:val="7"/>
      </w:pPr>
    </w:p>
    <w:p w14:paraId="4E8A140B">
      <w:pPr>
        <w:pStyle w:val="7"/>
      </w:pPr>
    </w:p>
    <w:p w14:paraId="578451A7">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697"/>
      <w:bookmarkStart w:id="1" w:name="_Toc254970556"/>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65B627EF">
      <w:pPr>
        <w:pStyle w:val="7"/>
        <w:jc w:val="both"/>
        <w:rPr>
          <w:b/>
          <w:sz w:val="44"/>
          <w:szCs w:val="36"/>
        </w:rPr>
      </w:pPr>
    </w:p>
    <w:p w14:paraId="7A11EE56">
      <w:pPr>
        <w:pStyle w:val="7"/>
        <w:numPr>
          <w:ilvl w:val="0"/>
          <w:numId w:val="5"/>
        </w:numPr>
        <w:jc w:val="left"/>
        <w:rPr>
          <w:rFonts w:hint="eastAsia"/>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0BB2990A">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7"/>
        <w:numPr>
          <w:ilvl w:val="0"/>
          <w:numId w:val="0"/>
        </w:numPr>
        <w:jc w:val="left"/>
        <w:rPr>
          <w:rFonts w:hint="eastAsia"/>
          <w:b/>
          <w:sz w:val="36"/>
          <w:szCs w:val="36"/>
        </w:rPr>
      </w:pPr>
    </w:p>
    <w:p w14:paraId="470AC734">
      <w:pPr>
        <w:pStyle w:val="7"/>
        <w:numPr>
          <w:ilvl w:val="0"/>
          <w:numId w:val="0"/>
        </w:numPr>
        <w:jc w:val="left"/>
        <w:rPr>
          <w:rFonts w:hint="eastAsia"/>
          <w:b/>
          <w:sz w:val="36"/>
          <w:szCs w:val="36"/>
        </w:rPr>
      </w:pPr>
    </w:p>
    <w:p w14:paraId="23E8BFE9">
      <w:pPr>
        <w:pStyle w:val="7"/>
        <w:numPr>
          <w:ilvl w:val="0"/>
          <w:numId w:val="0"/>
        </w:numPr>
        <w:jc w:val="left"/>
        <w:rPr>
          <w:rFonts w:hint="eastAsia"/>
          <w:b/>
          <w:sz w:val="36"/>
          <w:szCs w:val="36"/>
        </w:rPr>
      </w:pPr>
    </w:p>
    <w:p w14:paraId="1A62783F">
      <w:pPr>
        <w:pStyle w:val="7"/>
        <w:numPr>
          <w:ilvl w:val="0"/>
          <w:numId w:val="0"/>
        </w:numPr>
        <w:jc w:val="left"/>
        <w:rPr>
          <w:rFonts w:hint="eastAsia"/>
          <w:b/>
          <w:sz w:val="36"/>
          <w:szCs w:val="36"/>
        </w:rPr>
      </w:pPr>
    </w:p>
    <w:p w14:paraId="37870246">
      <w:pPr>
        <w:pStyle w:val="7"/>
        <w:numPr>
          <w:ilvl w:val="0"/>
          <w:numId w:val="0"/>
        </w:numPr>
        <w:jc w:val="left"/>
        <w:rPr>
          <w:rFonts w:hint="eastAsia"/>
          <w:b/>
          <w:sz w:val="36"/>
          <w:szCs w:val="36"/>
        </w:rPr>
      </w:pPr>
    </w:p>
    <w:p w14:paraId="03D6C588">
      <w:pPr>
        <w:pStyle w:val="7"/>
        <w:numPr>
          <w:ilvl w:val="0"/>
          <w:numId w:val="0"/>
        </w:numPr>
        <w:jc w:val="left"/>
        <w:rPr>
          <w:rFonts w:hint="eastAsia"/>
          <w:b/>
          <w:sz w:val="36"/>
          <w:szCs w:val="36"/>
        </w:rPr>
      </w:pPr>
    </w:p>
    <w:p w14:paraId="1E983098">
      <w:pPr>
        <w:pStyle w:val="7"/>
        <w:numPr>
          <w:ilvl w:val="0"/>
          <w:numId w:val="0"/>
        </w:numPr>
        <w:jc w:val="left"/>
        <w:rPr>
          <w:rFonts w:hint="eastAsia"/>
          <w:b/>
          <w:sz w:val="36"/>
          <w:szCs w:val="36"/>
        </w:rPr>
      </w:pPr>
    </w:p>
    <w:p w14:paraId="573B5DE7">
      <w:pPr>
        <w:pStyle w:val="3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523C7935">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62CBEE87">
      <w:pPr>
        <w:jc w:val="left"/>
        <w:outlineLvl w:val="1"/>
        <w:rPr>
          <w:rFonts w:hint="eastAsia" w:ascii="仿宋" w:hAnsi="仿宋" w:eastAsia="仿宋" w:cs="Times New Roman"/>
          <w:b/>
          <w:sz w:val="32"/>
          <w:szCs w:val="32"/>
          <w:lang w:val="en-US" w:eastAsia="zh-CN"/>
        </w:rPr>
      </w:pPr>
    </w:p>
    <w:p w14:paraId="52E8417B">
      <w:pPr>
        <w:jc w:val="left"/>
        <w:outlineLvl w:val="1"/>
        <w:rPr>
          <w:rFonts w:hint="eastAsia" w:ascii="仿宋" w:hAnsi="仿宋" w:eastAsia="仿宋" w:cs="Times New Roman"/>
          <w:b/>
          <w:sz w:val="32"/>
          <w:szCs w:val="32"/>
          <w:lang w:val="en-US" w:eastAsia="zh-CN"/>
        </w:rPr>
      </w:pPr>
    </w:p>
    <w:p w14:paraId="7299D7E1">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AEAFC8E">
      <w:pPr>
        <w:pStyle w:val="7"/>
      </w:pPr>
    </w:p>
    <w:p w14:paraId="6ECE1708">
      <w:pPr>
        <w:pStyle w:val="7"/>
      </w:pPr>
    </w:p>
    <w:p w14:paraId="7BE08999">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6"/>
        </w:numPr>
        <w:jc w:val="left"/>
        <w:rPr>
          <w:rFonts w:hint="eastAsia"/>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hint="eastAsia" w:ascii="仿宋" w:hAnsi="仿宋" w:eastAsia="仿宋" w:cs="Arial"/>
                <w:bCs/>
                <w:sz w:val="30"/>
                <w:szCs w:val="30"/>
                <w:lang w:val="en-US" w:eastAsia="zh-CN"/>
              </w:rPr>
              <w:t>货物</w:t>
            </w: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049D89E1">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254970729"/>
            <w:bookmarkStart w:id="6" w:name="_Toc173066401"/>
            <w:bookmarkStart w:id="7" w:name="_Toc405905876"/>
            <w:bookmarkStart w:id="8" w:name="_Toc173211900"/>
            <w:bookmarkStart w:id="9" w:name="_Toc171349578"/>
            <w:bookmarkStart w:id="10" w:name="_Toc25497058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w:t>
            </w:r>
            <w:r>
              <w:rPr>
                <w:rFonts w:hint="eastAsia" w:ascii="宋体" w:hAnsi="宋体" w:cs="宋体"/>
                <w:kern w:val="0"/>
                <w:sz w:val="24"/>
                <w:lang w:val="en-US" w:eastAsia="zh-CN"/>
              </w:rPr>
              <w:t>参数</w:t>
            </w:r>
            <w:r>
              <w:rPr>
                <w:rFonts w:hint="eastAsia" w:ascii="宋体" w:hAnsi="宋体" w:cs="宋体"/>
                <w:kern w:val="0"/>
                <w:sz w:val="24"/>
              </w:rPr>
              <w:t>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173066404"/>
            <w:bookmarkStart w:id="12" w:name="_Toc254970591"/>
            <w:bookmarkStart w:id="13" w:name="_Toc405905879"/>
            <w:bookmarkStart w:id="14" w:name="_Toc173211903"/>
            <w:bookmarkStart w:id="15" w:name="_Toc254970732"/>
            <w:bookmarkStart w:id="16" w:name="_Toc17134958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405905880"/>
            <w:bookmarkStart w:id="18" w:name="_Toc254970733"/>
            <w:bookmarkStart w:id="19" w:name="_Toc173066405"/>
            <w:bookmarkStart w:id="20" w:name="_Toc173211904"/>
            <w:bookmarkStart w:id="21" w:name="_Toc171349582"/>
            <w:bookmarkStart w:id="22" w:name="_Toc25497059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173211905"/>
            <w:bookmarkStart w:id="26" w:name="_Toc173066406"/>
            <w:bookmarkStart w:id="27" w:name="_Toc254970734"/>
            <w:bookmarkStart w:id="28" w:name="_Toc405905882"/>
            <w:bookmarkStart w:id="29" w:name="_Toc171349584"/>
            <w:bookmarkStart w:id="30" w:name="_Toc254970593"/>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254970735"/>
            <w:bookmarkStart w:id="32" w:name="_Toc405905883"/>
            <w:bookmarkStart w:id="33" w:name="_Toc173211906"/>
            <w:bookmarkStart w:id="34" w:name="_Toc254970594"/>
            <w:bookmarkStart w:id="35" w:name="_Toc171349585"/>
            <w:bookmarkStart w:id="36" w:name="_Toc173066407"/>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254970595"/>
            <w:bookmarkStart w:id="38" w:name="_Toc254970736"/>
            <w:bookmarkStart w:id="39" w:name="_Toc173066408"/>
            <w:bookmarkStart w:id="40" w:name="_Toc173211907"/>
            <w:bookmarkStart w:id="41" w:name="_Toc171349586"/>
            <w:bookmarkStart w:id="42" w:name="_Toc405905884"/>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8D003"/>
    <w:multiLevelType w:val="singleLevel"/>
    <w:tmpl w:val="FE08D003"/>
    <w:lvl w:ilvl="0" w:tentative="0">
      <w:start w:val="3"/>
      <w:numFmt w:val="decimal"/>
      <w:lvlText w:val="%1."/>
      <w:lvlJc w:val="left"/>
      <w:pPr>
        <w:tabs>
          <w:tab w:val="left" w:pos="312"/>
        </w:tabs>
      </w:pPr>
    </w:lvl>
  </w:abstractNum>
  <w:abstractNum w:abstractNumId="1">
    <w:nsid w:val="053EDD27"/>
    <w:multiLevelType w:val="singleLevel"/>
    <w:tmpl w:val="053EDD27"/>
    <w:lvl w:ilvl="0" w:tentative="0">
      <w:start w:val="1"/>
      <w:numFmt w:val="chineseCounting"/>
      <w:suff w:val="nothing"/>
      <w:lvlText w:val="%1、"/>
      <w:lvlJc w:val="left"/>
      <w:rPr>
        <w:rFonts w:hint="eastAsia"/>
      </w:rPr>
    </w:lvl>
  </w:abstractNum>
  <w:abstractNum w:abstractNumId="2">
    <w:nsid w:val="1519128E"/>
    <w:multiLevelType w:val="singleLevel"/>
    <w:tmpl w:val="1519128E"/>
    <w:lvl w:ilvl="0" w:tentative="0">
      <w:start w:val="7"/>
      <w:numFmt w:val="decimal"/>
      <w:lvlText w:val="%1."/>
      <w:lvlJc w:val="left"/>
      <w:pPr>
        <w:tabs>
          <w:tab w:val="left" w:pos="312"/>
        </w:tabs>
      </w:pPr>
    </w:lvl>
  </w:abstractNum>
  <w:abstractNum w:abstractNumId="3">
    <w:nsid w:val="442756B7"/>
    <w:multiLevelType w:val="singleLevel"/>
    <w:tmpl w:val="442756B7"/>
    <w:lvl w:ilvl="0" w:tentative="0">
      <w:start w:val="2"/>
      <w:numFmt w:val="chineseCounting"/>
      <w:suff w:val="nothing"/>
      <w:lvlText w:val="%1、"/>
      <w:lvlJc w:val="left"/>
      <w:rPr>
        <w:rFonts w:hint="eastAsia"/>
      </w:rPr>
    </w:lvl>
  </w:abstractNum>
  <w:abstractNum w:abstractNumId="4">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5">
    <w:nsid w:val="699A7AF0"/>
    <w:multiLevelType w:val="multilevel"/>
    <w:tmpl w:val="699A7AF0"/>
    <w:lvl w:ilvl="0" w:tentative="0">
      <w:start w:val="1"/>
      <w:numFmt w:val="japaneseCounting"/>
      <w:lvlText w:val="%1、"/>
      <w:lvlJc w:val="left"/>
      <w:pPr>
        <w:ind w:left="720" w:hanging="720"/>
      </w:pPr>
      <w:rPr>
        <w:rFonts w:hint="eastAsia"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2DE2AF0"/>
    <w:rsid w:val="05B955A9"/>
    <w:rsid w:val="0C911AFA"/>
    <w:rsid w:val="0DE15120"/>
    <w:rsid w:val="0F520759"/>
    <w:rsid w:val="0F7909A8"/>
    <w:rsid w:val="0FE93A22"/>
    <w:rsid w:val="105D1B31"/>
    <w:rsid w:val="1880058A"/>
    <w:rsid w:val="1A4772B8"/>
    <w:rsid w:val="1A675CCB"/>
    <w:rsid w:val="1AAB0964"/>
    <w:rsid w:val="1B912C21"/>
    <w:rsid w:val="1C6C5A5A"/>
    <w:rsid w:val="1E5332EC"/>
    <w:rsid w:val="1F2D6B06"/>
    <w:rsid w:val="1F752E36"/>
    <w:rsid w:val="22A52928"/>
    <w:rsid w:val="234A77AC"/>
    <w:rsid w:val="239C4543"/>
    <w:rsid w:val="252218B8"/>
    <w:rsid w:val="25EA35B4"/>
    <w:rsid w:val="2B5B3134"/>
    <w:rsid w:val="2C8F0B18"/>
    <w:rsid w:val="303A0730"/>
    <w:rsid w:val="314E3BE2"/>
    <w:rsid w:val="316424EB"/>
    <w:rsid w:val="33194A17"/>
    <w:rsid w:val="36510C52"/>
    <w:rsid w:val="366E613E"/>
    <w:rsid w:val="37FC2926"/>
    <w:rsid w:val="39124E76"/>
    <w:rsid w:val="3D271595"/>
    <w:rsid w:val="3EA877F7"/>
    <w:rsid w:val="40A908BA"/>
    <w:rsid w:val="4405042F"/>
    <w:rsid w:val="4AB3020D"/>
    <w:rsid w:val="4D685148"/>
    <w:rsid w:val="55063C3D"/>
    <w:rsid w:val="58B31519"/>
    <w:rsid w:val="59DC7163"/>
    <w:rsid w:val="5C1C2E1C"/>
    <w:rsid w:val="5CE220FC"/>
    <w:rsid w:val="5DFD28D7"/>
    <w:rsid w:val="5EC6574C"/>
    <w:rsid w:val="63772297"/>
    <w:rsid w:val="63EE34BC"/>
    <w:rsid w:val="68A43AD7"/>
    <w:rsid w:val="6C1A549F"/>
    <w:rsid w:val="7066285B"/>
    <w:rsid w:val="709A2514"/>
    <w:rsid w:val="70BA2651"/>
    <w:rsid w:val="733A21E7"/>
    <w:rsid w:val="75106CE6"/>
    <w:rsid w:val="75822D8C"/>
    <w:rsid w:val="75AA195E"/>
    <w:rsid w:val="763C4F6E"/>
    <w:rsid w:val="781B7F0F"/>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 w:type="paragraph" w:customStyle="1" w:styleId="36">
    <w:name w:val="标题3（正文）"/>
    <w:basedOn w:val="1"/>
    <w:next w:val="37"/>
    <w:qFormat/>
    <w:uiPriority w:val="0"/>
    <w:pPr>
      <w:outlineLvl w:val="2"/>
    </w:pPr>
    <w:rPr>
      <w:b/>
    </w:rPr>
  </w:style>
  <w:style w:type="paragraph" w:customStyle="1" w:styleId="37">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8">
    <w:name w:val="标题2"/>
    <w:basedOn w:val="1"/>
    <w:next w:val="1"/>
    <w:qFormat/>
    <w:uiPriority w:val="0"/>
    <w:pPr>
      <w:ind w:firstLine="0" w:firstLineChars="0"/>
      <w:outlineLvl w:val="1"/>
    </w:pPr>
    <w:rPr>
      <w:b/>
    </w:rPr>
  </w:style>
  <w:style w:type="paragraph" w:customStyle="1" w:styleId="39">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6237</Words>
  <Characters>6435</Characters>
  <Lines>46</Lines>
  <Paragraphs>13</Paragraphs>
  <TotalTime>16</TotalTime>
  <ScaleCrop>false</ScaleCrop>
  <LinksUpToDate>false</LinksUpToDate>
  <CharactersWithSpaces>7717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2026-05-08T07:13:48Z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9524948B977645F9A6B266657EFD5749_12</vt:lpwstr>
  </property>
</Properties>
</file>